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EA45A">
      <w:pPr>
        <w:ind w:firstLine="643"/>
        <w:jc w:val="center"/>
        <w:rPr>
          <w:rFonts w:ascii="Times New Roman" w:hAnsi="Times New Roman" w:eastAsia="宋体" w:cs="Times New Roman"/>
          <w:b/>
          <w:bCs/>
          <w:sz w:val="32"/>
          <w:szCs w:val="32"/>
        </w:rPr>
      </w:pPr>
      <w:r>
        <w:rPr>
          <w:rFonts w:ascii="Times New Roman" w:hAnsi="Times New Roman" w:eastAsia="宋体" w:cs="Times New Roman"/>
          <w:b/>
          <w:bCs/>
          <w:sz w:val="32"/>
          <w:szCs w:val="32"/>
        </w:rPr>
        <w:t>《</w:t>
      </w:r>
      <w:r>
        <w:rPr>
          <w:rFonts w:hint="eastAsia" w:ascii="Times New Roman" w:hAnsi="Times New Roman" w:eastAsia="宋体" w:cs="Times New Roman"/>
          <w:b/>
          <w:bCs/>
          <w:sz w:val="32"/>
          <w:szCs w:val="32"/>
          <w:lang w:eastAsia="zh-CN"/>
        </w:rPr>
        <w:t>固体废物</w:t>
      </w:r>
      <w:r>
        <w:rPr>
          <w:rFonts w:hint="eastAsia" w:ascii="Times New Roman" w:hAnsi="Times New Roman" w:eastAsia="宋体" w:cs="Times New Roman"/>
          <w:b/>
          <w:bCs/>
          <w:sz w:val="32"/>
          <w:szCs w:val="32"/>
          <w:lang w:val="en-US" w:eastAsia="zh-CN"/>
        </w:rPr>
        <w:t xml:space="preserve"> 铀 钍的测定 电感耦合等离子体质谱法</w:t>
      </w:r>
      <w:r>
        <w:rPr>
          <w:rFonts w:ascii="Times New Roman" w:hAnsi="Times New Roman" w:eastAsia="宋体" w:cs="Times New Roman"/>
          <w:b/>
          <w:bCs/>
          <w:sz w:val="32"/>
          <w:szCs w:val="32"/>
        </w:rPr>
        <w:t>》地方标准编制说明</w:t>
      </w:r>
    </w:p>
    <w:p w14:paraId="56F6B022">
      <w:pPr>
        <w:pStyle w:val="2"/>
        <w:rPr>
          <w:rFonts w:hint="eastAsia" w:ascii="Times New Roman" w:hAnsi="Times New Roman" w:eastAsia="宋体" w:cs="Times New Roman"/>
          <w:lang w:val="en-US" w:eastAsia="zh-CN"/>
        </w:rPr>
      </w:pPr>
      <w:r>
        <w:rPr>
          <w:rFonts w:hint="eastAsia" w:ascii="Times New Roman" w:hAnsi="Times New Roman" w:cs="Times New Roman"/>
          <w:lang w:val="en-US" w:eastAsia="zh-CN"/>
        </w:rPr>
        <w:t>1</w:t>
      </w:r>
      <w:r>
        <w:rPr>
          <w:rFonts w:hint="eastAsia" w:ascii="Times New Roman" w:hAnsi="Times New Roman" w:cs="Times New Roman"/>
          <w:lang w:eastAsia="zh-CN"/>
        </w:rPr>
        <w:t>项目背景</w:t>
      </w:r>
    </w:p>
    <w:p w14:paraId="0B16EFDC">
      <w:pPr>
        <w:pStyle w:val="2"/>
        <w:bidi w:val="0"/>
        <w:rPr>
          <w:rFonts w:ascii="Times New Roman" w:hAnsi="Times New Roman" w:eastAsia="宋体" w:cs="Times New Roman"/>
          <w:b/>
          <w:bCs w:val="0"/>
          <w:kern w:val="2"/>
          <w:sz w:val="24"/>
          <w:szCs w:val="32"/>
          <w:lang w:val="en-US" w:eastAsia="zh-CN" w:bidi="ar-SA"/>
        </w:rPr>
      </w:pPr>
      <w:r>
        <w:rPr>
          <w:rFonts w:ascii="Times New Roman" w:hAnsi="Times New Roman" w:eastAsia="宋体" w:cs="Times New Roman"/>
          <w:b/>
          <w:bCs w:val="0"/>
          <w:kern w:val="2"/>
          <w:sz w:val="28"/>
          <w:szCs w:val="28"/>
          <w:lang w:val="en-US" w:eastAsia="zh-CN" w:bidi="ar-SA"/>
        </w:rPr>
        <w:t>1</w:t>
      </w:r>
      <w:r>
        <w:rPr>
          <w:rFonts w:hint="eastAsia" w:ascii="Times New Roman" w:hAnsi="Times New Roman" w:cs="Times New Roman"/>
          <w:b/>
          <w:bCs w:val="0"/>
          <w:kern w:val="2"/>
          <w:sz w:val="28"/>
          <w:szCs w:val="28"/>
          <w:lang w:val="en-US" w:eastAsia="zh-CN" w:bidi="ar-SA"/>
        </w:rPr>
        <w:t>.1</w:t>
      </w:r>
      <w:r>
        <w:rPr>
          <w:rFonts w:ascii="Times New Roman" w:hAnsi="Times New Roman" w:eastAsia="宋体" w:cs="Times New Roman"/>
          <w:b/>
          <w:bCs w:val="0"/>
          <w:kern w:val="2"/>
          <w:sz w:val="28"/>
          <w:szCs w:val="28"/>
          <w:lang w:val="en-US" w:eastAsia="zh-CN" w:bidi="ar-SA"/>
        </w:rPr>
        <w:t>任务来源</w:t>
      </w:r>
    </w:p>
    <w:p w14:paraId="636A7455">
      <w:pPr>
        <w:ind w:firstLine="480"/>
        <w:rPr>
          <w:rFonts w:hint="eastAsia" w:ascii="Times New Roman" w:hAnsi="Times New Roman" w:eastAsia="仿宋" w:cs="Times New Roman"/>
          <w:color w:val="000000"/>
          <w:sz w:val="24"/>
          <w:lang w:bidi="en-US"/>
        </w:rPr>
      </w:pPr>
      <w:bookmarkStart w:id="0" w:name="_Hlk76462835"/>
      <w:r>
        <w:rPr>
          <w:rFonts w:hint="eastAsia" w:ascii="Times New Roman" w:hAnsi="Times New Roman" w:eastAsia="仿宋" w:cs="Times New Roman"/>
          <w:color w:val="000000"/>
          <w:sz w:val="24"/>
          <w:lang w:bidi="en-US"/>
        </w:rPr>
        <w:t>本标准由江西省</w:t>
      </w:r>
      <w:r>
        <w:rPr>
          <w:rFonts w:hint="eastAsia" w:ascii="Times New Roman" w:hAnsi="Times New Roman" w:eastAsia="仿宋" w:cs="Times New Roman"/>
          <w:color w:val="000000"/>
          <w:sz w:val="24"/>
          <w:lang w:eastAsia="zh-CN" w:bidi="en-US"/>
        </w:rPr>
        <w:t>辐射环境监督站、核工业二七</w:t>
      </w:r>
      <w:r>
        <w:rPr>
          <w:rFonts w:hint="eastAsia" w:ascii="Times New Roman" w:hAnsi="Times New Roman" w:eastAsia="仿宋" w:cs="Times New Roman"/>
          <w:color w:val="000000"/>
          <w:sz w:val="24"/>
          <w:lang w:val="en-US" w:eastAsia="zh-CN" w:bidi="en-US"/>
        </w:rPr>
        <w:t>0研究所</w:t>
      </w:r>
      <w:r>
        <w:rPr>
          <w:rFonts w:hint="eastAsia" w:ascii="Times New Roman" w:hAnsi="Times New Roman" w:eastAsia="仿宋" w:cs="Times New Roman"/>
          <w:color w:val="000000"/>
          <w:sz w:val="24"/>
          <w:lang w:bidi="en-US"/>
        </w:rPr>
        <w:t>申请立项、江西省</w:t>
      </w:r>
      <w:r>
        <w:rPr>
          <w:rFonts w:hint="eastAsia" w:ascii="Times New Roman" w:hAnsi="Times New Roman" w:eastAsia="仿宋" w:cs="Times New Roman"/>
          <w:color w:val="000000"/>
          <w:sz w:val="24"/>
          <w:lang w:eastAsia="zh-CN" w:bidi="en-US"/>
        </w:rPr>
        <w:t>生态环境</w:t>
      </w:r>
      <w:r>
        <w:rPr>
          <w:rFonts w:hint="eastAsia" w:ascii="Times New Roman" w:hAnsi="Times New Roman" w:eastAsia="仿宋" w:cs="Times New Roman"/>
          <w:color w:val="000000"/>
          <w:sz w:val="24"/>
          <w:lang w:bidi="en-US"/>
        </w:rPr>
        <w:t>厅提出，《江西省市场监管局关于下达202</w:t>
      </w:r>
      <w:r>
        <w:rPr>
          <w:rFonts w:hint="eastAsia" w:ascii="Times New Roman" w:hAnsi="Times New Roman" w:eastAsia="仿宋" w:cs="Times New Roman"/>
          <w:color w:val="000000"/>
          <w:sz w:val="24"/>
          <w:lang w:val="en-US" w:eastAsia="zh-CN" w:bidi="en-US"/>
        </w:rPr>
        <w:t>4</w:t>
      </w:r>
      <w:r>
        <w:rPr>
          <w:rFonts w:hint="eastAsia" w:ascii="Times New Roman" w:hAnsi="Times New Roman" w:eastAsia="仿宋" w:cs="Times New Roman"/>
          <w:color w:val="000000"/>
          <w:sz w:val="24"/>
          <w:lang w:bidi="en-US"/>
        </w:rPr>
        <w:t>年第</w:t>
      </w:r>
      <w:r>
        <w:rPr>
          <w:rFonts w:hint="eastAsia" w:ascii="Times New Roman" w:hAnsi="Times New Roman" w:eastAsia="仿宋" w:cs="Times New Roman"/>
          <w:color w:val="000000"/>
          <w:sz w:val="24"/>
          <w:lang w:eastAsia="zh-CN" w:bidi="en-US"/>
        </w:rPr>
        <w:t>一</w:t>
      </w:r>
      <w:r>
        <w:rPr>
          <w:rFonts w:hint="eastAsia" w:ascii="Times New Roman" w:hAnsi="Times New Roman" w:eastAsia="仿宋" w:cs="Times New Roman"/>
          <w:color w:val="000000"/>
          <w:sz w:val="24"/>
          <w:lang w:bidi="en-US"/>
        </w:rPr>
        <w:t>批江西省地方标准制修订计划的通知》（赣市监标函〔202</w:t>
      </w:r>
      <w:r>
        <w:rPr>
          <w:rFonts w:hint="eastAsia" w:ascii="Times New Roman" w:hAnsi="Times New Roman" w:eastAsia="仿宋" w:cs="Times New Roman"/>
          <w:color w:val="000000"/>
          <w:sz w:val="24"/>
          <w:lang w:val="en-US" w:eastAsia="zh-CN" w:bidi="en-US"/>
        </w:rPr>
        <w:t>4</w:t>
      </w:r>
      <w:r>
        <w:rPr>
          <w:rFonts w:hint="eastAsia" w:ascii="Times New Roman" w:hAnsi="Times New Roman" w:eastAsia="仿宋" w:cs="Times New Roman"/>
          <w:color w:val="000000"/>
          <w:sz w:val="24"/>
          <w:lang w:bidi="en-US"/>
        </w:rPr>
        <w:t>〕</w:t>
      </w:r>
      <w:r>
        <w:rPr>
          <w:rFonts w:hint="eastAsia" w:ascii="Times New Roman" w:hAnsi="Times New Roman" w:eastAsia="仿宋" w:cs="Times New Roman"/>
          <w:color w:val="000000"/>
          <w:sz w:val="24"/>
          <w:lang w:val="en-US" w:eastAsia="zh-CN" w:bidi="en-US"/>
        </w:rPr>
        <w:t>3</w:t>
      </w:r>
      <w:r>
        <w:rPr>
          <w:rFonts w:hint="eastAsia" w:ascii="Times New Roman" w:hAnsi="Times New Roman" w:eastAsia="仿宋" w:cs="Times New Roman"/>
          <w:color w:val="000000"/>
          <w:sz w:val="24"/>
          <w:lang w:bidi="en-US"/>
        </w:rPr>
        <w:t>号）列入制修订计划，计划编号DB36-202</w:t>
      </w:r>
      <w:r>
        <w:rPr>
          <w:rFonts w:hint="eastAsia" w:ascii="Times New Roman" w:hAnsi="Times New Roman" w:eastAsia="仿宋" w:cs="Times New Roman"/>
          <w:color w:val="000000"/>
          <w:sz w:val="24"/>
          <w:lang w:val="en-US" w:eastAsia="zh-CN" w:bidi="en-US"/>
        </w:rPr>
        <w:t>4</w:t>
      </w:r>
      <w:r>
        <w:rPr>
          <w:rFonts w:hint="eastAsia" w:ascii="Times New Roman" w:hAnsi="Times New Roman" w:eastAsia="仿宋" w:cs="Times New Roman"/>
          <w:color w:val="000000"/>
          <w:sz w:val="24"/>
          <w:lang w:bidi="en-US"/>
        </w:rPr>
        <w:t>-</w:t>
      </w:r>
      <w:r>
        <w:rPr>
          <w:rFonts w:hint="eastAsia" w:ascii="Times New Roman" w:hAnsi="Times New Roman" w:eastAsia="仿宋" w:cs="Times New Roman"/>
          <w:color w:val="000000"/>
          <w:sz w:val="24"/>
          <w:lang w:val="en-US" w:eastAsia="zh-CN" w:bidi="en-US"/>
        </w:rPr>
        <w:t>1</w:t>
      </w:r>
      <w:r>
        <w:rPr>
          <w:rFonts w:hint="eastAsia" w:ascii="Times New Roman" w:hAnsi="Times New Roman" w:eastAsia="仿宋" w:cs="Times New Roman"/>
          <w:color w:val="000000"/>
          <w:sz w:val="24"/>
          <w:lang w:bidi="en-US"/>
        </w:rPr>
        <w:t>-</w:t>
      </w:r>
      <w:r>
        <w:rPr>
          <w:rFonts w:hint="eastAsia" w:ascii="Times New Roman" w:hAnsi="Times New Roman" w:eastAsia="仿宋" w:cs="Times New Roman"/>
          <w:color w:val="000000"/>
          <w:sz w:val="24"/>
          <w:lang w:val="en-US" w:eastAsia="zh-CN" w:bidi="en-US"/>
        </w:rPr>
        <w:t>15</w:t>
      </w:r>
      <w:r>
        <w:rPr>
          <w:rFonts w:hint="eastAsia" w:ascii="Times New Roman" w:hAnsi="Times New Roman" w:eastAsia="仿宋" w:cs="Times New Roman"/>
          <w:color w:val="000000"/>
          <w:sz w:val="24"/>
          <w:lang w:bidi="en-US"/>
        </w:rPr>
        <w:t>。</w:t>
      </w:r>
    </w:p>
    <w:bookmarkEnd w:id="0"/>
    <w:p w14:paraId="563DB794">
      <w:pPr>
        <w:pStyle w:val="2"/>
        <w:bidi w:val="0"/>
        <w:rPr>
          <w:rFonts w:ascii="Times New Roman" w:hAnsi="Times New Roman" w:eastAsia="宋体" w:cs="Times New Roman"/>
          <w:b/>
          <w:bCs w:val="0"/>
          <w:kern w:val="2"/>
          <w:sz w:val="28"/>
          <w:szCs w:val="28"/>
          <w:lang w:val="en-US" w:eastAsia="zh-CN" w:bidi="ar-SA"/>
        </w:rPr>
      </w:pPr>
      <w:r>
        <w:rPr>
          <w:rFonts w:hint="eastAsia" w:ascii="Times New Roman" w:hAnsi="Times New Roman" w:cs="Times New Roman"/>
          <w:b/>
          <w:bCs w:val="0"/>
          <w:kern w:val="2"/>
          <w:sz w:val="28"/>
          <w:szCs w:val="28"/>
          <w:lang w:val="en-US" w:eastAsia="zh-CN" w:bidi="ar-SA"/>
        </w:rPr>
        <w:t>1.2</w:t>
      </w:r>
      <w:r>
        <w:rPr>
          <w:rFonts w:ascii="Times New Roman" w:hAnsi="Times New Roman" w:eastAsia="宋体" w:cs="Times New Roman"/>
          <w:b/>
          <w:bCs w:val="0"/>
          <w:kern w:val="2"/>
          <w:sz w:val="28"/>
          <w:szCs w:val="28"/>
          <w:lang w:val="en-US" w:eastAsia="zh-CN" w:bidi="ar-SA"/>
        </w:rPr>
        <w:t>起草单位</w:t>
      </w:r>
    </w:p>
    <w:p w14:paraId="4331DF8D">
      <w:pPr>
        <w:numPr>
          <w:ilvl w:val="0"/>
          <w:numId w:val="0"/>
        </w:numPr>
        <w:ind w:firstLine="480" w:firstLineChars="200"/>
        <w:rPr>
          <w:rFonts w:hint="eastAsia"/>
          <w:szCs w:val="21"/>
        </w:rPr>
      </w:pPr>
      <w:r>
        <w:rPr>
          <w:rFonts w:hint="eastAsia" w:ascii="Times New Roman" w:hAnsi="Times New Roman" w:eastAsia="仿宋" w:cs="Times New Roman"/>
          <w:color w:val="000000"/>
          <w:sz w:val="24"/>
          <w:lang w:bidi="en-US"/>
        </w:rPr>
        <w:t>本标准起草单位：江西省辐射环境监督站、核工业二七0研究所。</w:t>
      </w:r>
    </w:p>
    <w:p w14:paraId="29C9408A">
      <w:pPr>
        <w:pStyle w:val="2"/>
        <w:bidi w:val="0"/>
        <w:rPr>
          <w:rFonts w:ascii="Times New Roman" w:hAnsi="Times New Roman" w:eastAsia="宋体" w:cs="Times New Roman"/>
          <w:b/>
          <w:bCs w:val="0"/>
          <w:kern w:val="2"/>
          <w:sz w:val="28"/>
          <w:szCs w:val="28"/>
          <w:lang w:val="en-US" w:eastAsia="zh-CN" w:bidi="ar-SA"/>
        </w:rPr>
      </w:pPr>
      <w:r>
        <w:rPr>
          <w:rFonts w:hint="eastAsia" w:ascii="Times New Roman" w:hAnsi="Times New Roman" w:cs="Times New Roman"/>
          <w:b/>
          <w:bCs w:val="0"/>
          <w:kern w:val="2"/>
          <w:sz w:val="28"/>
          <w:szCs w:val="28"/>
          <w:lang w:val="en-US" w:eastAsia="zh-CN" w:bidi="ar-SA"/>
        </w:rPr>
        <w:t>1.3</w:t>
      </w:r>
      <w:r>
        <w:rPr>
          <w:rFonts w:hint="eastAsia" w:ascii="Times New Roman" w:hAnsi="Times New Roman" w:eastAsia="宋体" w:cs="Times New Roman"/>
          <w:b/>
          <w:bCs w:val="0"/>
          <w:kern w:val="2"/>
          <w:sz w:val="28"/>
          <w:szCs w:val="28"/>
          <w:lang w:val="en-US" w:eastAsia="zh-CN" w:bidi="ar-SA"/>
        </w:rPr>
        <w:t>验证</w:t>
      </w:r>
      <w:r>
        <w:rPr>
          <w:rFonts w:ascii="Times New Roman" w:hAnsi="Times New Roman" w:eastAsia="宋体" w:cs="Times New Roman"/>
          <w:b/>
          <w:bCs w:val="0"/>
          <w:kern w:val="2"/>
          <w:sz w:val="28"/>
          <w:szCs w:val="28"/>
          <w:lang w:val="en-US" w:eastAsia="zh-CN" w:bidi="ar-SA"/>
        </w:rPr>
        <w:t>单位</w:t>
      </w:r>
    </w:p>
    <w:p w14:paraId="3F31F7C8">
      <w:pPr>
        <w:pStyle w:val="12"/>
        <w:spacing w:line="360" w:lineRule="auto"/>
        <w:rPr>
          <w:rFonts w:hint="default" w:ascii="Times New Roman" w:hAnsi="Times New Roman" w:eastAsia="仿宋_GB2312" w:cs="Times New Roman"/>
          <w:kern w:val="2"/>
          <w:sz w:val="24"/>
          <w:szCs w:val="22"/>
          <w:lang w:val="en-US" w:eastAsia="zh-CN" w:bidi="ar-SA"/>
        </w:rPr>
      </w:pPr>
      <w:r>
        <w:rPr>
          <w:rFonts w:hint="eastAsia" w:ascii="Times New Roman" w:hAnsi="Times New Roman" w:eastAsia="仿宋" w:cs="Times New Roman"/>
          <w:color w:val="000000"/>
          <w:kern w:val="2"/>
          <w:sz w:val="24"/>
          <w:szCs w:val="22"/>
          <w:lang w:val="en-US" w:eastAsia="zh-CN" w:bidi="en-US"/>
        </w:rPr>
        <w:t>本标准验证单位：南昌大学、江西省景德镇生态环境监测中心、核工业二八0研究所、核工业二九0研究所。</w:t>
      </w:r>
      <w:r>
        <w:rPr>
          <w:rFonts w:hint="eastAsia" w:ascii="Times New Roman" w:hAnsi="Times New Roman" w:eastAsia="仿宋_GB2312" w:cs="Times New Roman"/>
          <w:kern w:val="2"/>
          <w:sz w:val="24"/>
          <w:szCs w:val="22"/>
          <w:lang w:val="en-US" w:eastAsia="zh-CN" w:bidi="ar-SA"/>
        </w:rPr>
        <w:t xml:space="preserve">  </w:t>
      </w:r>
    </w:p>
    <w:p w14:paraId="30CBD6FD">
      <w:pPr>
        <w:pStyle w:val="2"/>
        <w:numPr>
          <w:ilvl w:val="0"/>
          <w:numId w:val="0"/>
        </w:numPr>
        <w:bidi w:val="0"/>
      </w:pPr>
      <w:r>
        <w:rPr>
          <w:rFonts w:hint="eastAsia" w:ascii="Times New Roman" w:hAnsi="Times New Roman" w:cs="Times New Roman"/>
          <w:b/>
          <w:bCs w:val="0"/>
          <w:kern w:val="2"/>
          <w:sz w:val="28"/>
          <w:szCs w:val="28"/>
          <w:lang w:val="en-US" w:eastAsia="zh-CN" w:bidi="ar-SA"/>
        </w:rPr>
        <w:t>1.4</w:t>
      </w:r>
      <w:r>
        <w:rPr>
          <w:rFonts w:hint="eastAsia" w:ascii="Times New Roman" w:hAnsi="Times New Roman" w:eastAsia="宋体" w:cs="Times New Roman"/>
          <w:b/>
          <w:bCs w:val="0"/>
          <w:kern w:val="2"/>
          <w:sz w:val="28"/>
          <w:szCs w:val="28"/>
          <w:lang w:val="en-US" w:eastAsia="zh-CN" w:bidi="ar-SA"/>
        </w:rPr>
        <w:t>主要起草人</w:t>
      </w:r>
    </w:p>
    <w:p w14:paraId="2217F376">
      <w:pPr>
        <w:numPr>
          <w:ilvl w:val="0"/>
          <w:numId w:val="0"/>
        </w:numPr>
        <w:ind w:leftChars="200"/>
        <w:rPr>
          <w:rFonts w:hint="eastAsia" w:ascii="Times New Roman" w:hAnsi="Times New Roman" w:eastAsia="仿宋" w:cs="Times New Roman"/>
          <w:color w:val="000000"/>
          <w:kern w:val="2"/>
          <w:sz w:val="24"/>
          <w:szCs w:val="22"/>
          <w:lang w:val="en-US" w:eastAsia="zh-CN" w:bidi="en-US"/>
        </w:rPr>
      </w:pPr>
      <w:r>
        <w:rPr>
          <w:rFonts w:hint="eastAsia" w:ascii="Times New Roman" w:hAnsi="Times New Roman" w:eastAsia="仿宋" w:cs="Times New Roman"/>
          <w:color w:val="000000"/>
          <w:kern w:val="2"/>
          <w:sz w:val="24"/>
          <w:szCs w:val="22"/>
          <w:lang w:val="en-US" w:eastAsia="zh-CN" w:bidi="en-US"/>
        </w:rPr>
        <w:t>本标准主要起草人员见表1</w:t>
      </w:r>
    </w:p>
    <w:p w14:paraId="28B51BF3">
      <w:pPr>
        <w:numPr>
          <w:ilvl w:val="0"/>
          <w:numId w:val="0"/>
        </w:numPr>
        <w:ind w:leftChars="200"/>
        <w:jc w:val="center"/>
        <w:rPr>
          <w:rFonts w:hint="default" w:ascii="Times New Roman" w:hAnsi="Times New Roman" w:eastAsia="仿宋_GB2312" w:cs="Times New Roman"/>
          <w:kern w:val="2"/>
          <w:sz w:val="24"/>
          <w:szCs w:val="22"/>
          <w:lang w:val="en-US" w:eastAsia="zh-CN" w:bidi="ar-SA"/>
        </w:rPr>
      </w:pPr>
      <w:r>
        <w:rPr>
          <w:rFonts w:hint="eastAsia" w:ascii="Times New Roman" w:hAnsi="Times New Roman" w:eastAsia="仿宋_GB2312" w:cs="Times New Roman"/>
          <w:kern w:val="2"/>
          <w:sz w:val="24"/>
          <w:szCs w:val="22"/>
          <w:lang w:val="en-US" w:eastAsia="zh-CN" w:bidi="ar-SA"/>
        </w:rPr>
        <w:t>表1  标准起草人员情况登记表</w:t>
      </w:r>
    </w:p>
    <w:tbl>
      <w:tblPr>
        <w:tblStyle w:val="9"/>
        <w:tblW w:w="51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761"/>
        <w:gridCol w:w="3667"/>
        <w:gridCol w:w="1950"/>
      </w:tblGrid>
      <w:tr w14:paraId="6479D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54D1CB3F">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姓名</w:t>
            </w:r>
          </w:p>
        </w:tc>
        <w:tc>
          <w:tcPr>
            <w:tcW w:w="997" w:type="pct"/>
            <w:vAlign w:val="center"/>
          </w:tcPr>
          <w:p w14:paraId="142F477C">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职务/职称</w:t>
            </w:r>
          </w:p>
        </w:tc>
        <w:tc>
          <w:tcPr>
            <w:tcW w:w="2076" w:type="pct"/>
            <w:vAlign w:val="center"/>
          </w:tcPr>
          <w:p w14:paraId="2374CA45">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工作单位</w:t>
            </w:r>
          </w:p>
        </w:tc>
        <w:tc>
          <w:tcPr>
            <w:tcW w:w="1104" w:type="pct"/>
            <w:vAlign w:val="center"/>
          </w:tcPr>
          <w:p w14:paraId="4D3E75AA">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任务分工</w:t>
            </w:r>
          </w:p>
        </w:tc>
      </w:tr>
      <w:tr w14:paraId="23579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66D49500">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齐玲</w:t>
            </w:r>
          </w:p>
        </w:tc>
        <w:tc>
          <w:tcPr>
            <w:tcW w:w="997" w:type="pct"/>
            <w:vAlign w:val="center"/>
          </w:tcPr>
          <w:p w14:paraId="49663520">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正高级工程师</w:t>
            </w:r>
          </w:p>
        </w:tc>
        <w:tc>
          <w:tcPr>
            <w:tcW w:w="2076" w:type="pct"/>
            <w:vAlign w:val="center"/>
          </w:tcPr>
          <w:p w14:paraId="4147D2FA">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核工业二七0研究所</w:t>
            </w:r>
          </w:p>
        </w:tc>
        <w:tc>
          <w:tcPr>
            <w:tcW w:w="1104" w:type="pct"/>
            <w:vAlign w:val="center"/>
          </w:tcPr>
          <w:p w14:paraId="399F32F7">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标准</w:t>
            </w:r>
            <w:r>
              <w:rPr>
                <w:rFonts w:hint="eastAsia" w:ascii="仿宋" w:hAnsi="仿宋" w:eastAsia="仿宋" w:cs="仿宋"/>
                <w:b w:val="0"/>
                <w:bCs w:val="0"/>
                <w:sz w:val="24"/>
                <w:szCs w:val="24"/>
              </w:rPr>
              <w:t>编写</w:t>
            </w:r>
            <w:r>
              <w:rPr>
                <w:rFonts w:hint="eastAsia" w:ascii="仿宋" w:hAnsi="仿宋" w:eastAsia="仿宋" w:cs="仿宋"/>
                <w:b w:val="0"/>
                <w:bCs w:val="0"/>
                <w:sz w:val="24"/>
                <w:szCs w:val="24"/>
                <w:lang w:eastAsia="zh-CN"/>
              </w:rPr>
              <w:t>、验证</w:t>
            </w:r>
          </w:p>
        </w:tc>
      </w:tr>
      <w:tr w14:paraId="6FEE5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0122A05E">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李茜</w:t>
            </w:r>
          </w:p>
        </w:tc>
        <w:tc>
          <w:tcPr>
            <w:tcW w:w="997" w:type="pct"/>
            <w:vAlign w:val="center"/>
          </w:tcPr>
          <w:p w14:paraId="4CEBEBD8">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工程师</w:t>
            </w:r>
          </w:p>
        </w:tc>
        <w:tc>
          <w:tcPr>
            <w:tcW w:w="2076" w:type="pct"/>
            <w:vAlign w:val="center"/>
          </w:tcPr>
          <w:p w14:paraId="3422CFF9">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江西省辐射环境监督站</w:t>
            </w:r>
          </w:p>
        </w:tc>
        <w:tc>
          <w:tcPr>
            <w:tcW w:w="1104" w:type="pct"/>
            <w:vAlign w:val="center"/>
          </w:tcPr>
          <w:p w14:paraId="6D7320F1">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标准验证</w:t>
            </w:r>
          </w:p>
        </w:tc>
      </w:tr>
      <w:tr w14:paraId="07F81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24EA7A35">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金琴</w:t>
            </w:r>
          </w:p>
        </w:tc>
        <w:tc>
          <w:tcPr>
            <w:tcW w:w="997" w:type="pct"/>
            <w:vAlign w:val="center"/>
          </w:tcPr>
          <w:p w14:paraId="35E452ED">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工程师</w:t>
            </w:r>
          </w:p>
        </w:tc>
        <w:tc>
          <w:tcPr>
            <w:tcW w:w="2076" w:type="pct"/>
            <w:vAlign w:val="center"/>
          </w:tcPr>
          <w:p w14:paraId="718CEB27">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核工业二七0研究所</w:t>
            </w:r>
          </w:p>
        </w:tc>
        <w:tc>
          <w:tcPr>
            <w:tcW w:w="1104" w:type="pct"/>
            <w:vAlign w:val="center"/>
          </w:tcPr>
          <w:p w14:paraId="429B2A80">
            <w:pPr>
              <w:spacing w:line="240" w:lineRule="auto"/>
              <w:ind w:firstLine="480" w:firstLineChars="20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标准验证</w:t>
            </w:r>
          </w:p>
        </w:tc>
      </w:tr>
      <w:tr w14:paraId="7D3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52C4C0A1">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程绍鹃</w:t>
            </w:r>
          </w:p>
        </w:tc>
        <w:tc>
          <w:tcPr>
            <w:tcW w:w="997" w:type="pct"/>
            <w:vAlign w:val="center"/>
          </w:tcPr>
          <w:p w14:paraId="0CAC35DF">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高级工程师</w:t>
            </w:r>
          </w:p>
        </w:tc>
        <w:tc>
          <w:tcPr>
            <w:tcW w:w="2076" w:type="pct"/>
            <w:vAlign w:val="center"/>
          </w:tcPr>
          <w:p w14:paraId="245A039C">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核工业二七0研究所</w:t>
            </w:r>
          </w:p>
        </w:tc>
        <w:tc>
          <w:tcPr>
            <w:tcW w:w="1104" w:type="pct"/>
            <w:vAlign w:val="center"/>
          </w:tcPr>
          <w:p w14:paraId="503A2565">
            <w:pPr>
              <w:spacing w:line="240" w:lineRule="auto"/>
              <w:ind w:firstLine="480" w:firstLineChars="20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标准验证</w:t>
            </w:r>
          </w:p>
        </w:tc>
      </w:tr>
      <w:tr w14:paraId="3AF51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605AEDBB">
            <w:pPr>
              <w:spacing w:line="240" w:lineRule="auto"/>
              <w:ind w:firstLine="0" w:firstLineChars="0"/>
              <w:jc w:val="center"/>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张翰中</w:t>
            </w:r>
          </w:p>
        </w:tc>
        <w:tc>
          <w:tcPr>
            <w:tcW w:w="997" w:type="pct"/>
            <w:vAlign w:val="center"/>
          </w:tcPr>
          <w:p w14:paraId="2B75B27B">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助理工程师</w:t>
            </w:r>
          </w:p>
        </w:tc>
        <w:tc>
          <w:tcPr>
            <w:tcW w:w="2076" w:type="pct"/>
            <w:vAlign w:val="center"/>
          </w:tcPr>
          <w:p w14:paraId="7D019025">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江西省辐射环境监督站</w:t>
            </w:r>
          </w:p>
        </w:tc>
        <w:tc>
          <w:tcPr>
            <w:tcW w:w="1104" w:type="pct"/>
            <w:vAlign w:val="center"/>
          </w:tcPr>
          <w:p w14:paraId="0E335F8D">
            <w:pPr>
              <w:spacing w:line="240" w:lineRule="auto"/>
              <w:ind w:firstLine="480" w:firstLineChars="20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标准验证</w:t>
            </w:r>
          </w:p>
        </w:tc>
      </w:tr>
      <w:tr w14:paraId="7F0A0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6D6AD37F">
            <w:pPr>
              <w:spacing w:line="240" w:lineRule="auto"/>
              <w:ind w:firstLine="0" w:firstLineChars="0"/>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黄颖翀</w:t>
            </w:r>
          </w:p>
        </w:tc>
        <w:tc>
          <w:tcPr>
            <w:tcW w:w="997" w:type="pct"/>
            <w:vAlign w:val="center"/>
          </w:tcPr>
          <w:p w14:paraId="53AFE8EF">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工程师</w:t>
            </w:r>
          </w:p>
        </w:tc>
        <w:tc>
          <w:tcPr>
            <w:tcW w:w="2076" w:type="pct"/>
            <w:vAlign w:val="center"/>
          </w:tcPr>
          <w:p w14:paraId="241F6A4C">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江西省辐射环境监督站</w:t>
            </w:r>
          </w:p>
        </w:tc>
        <w:tc>
          <w:tcPr>
            <w:tcW w:w="1104" w:type="pct"/>
            <w:vAlign w:val="center"/>
          </w:tcPr>
          <w:p w14:paraId="781B39D5">
            <w:pPr>
              <w:spacing w:line="240" w:lineRule="auto"/>
              <w:ind w:firstLine="480" w:firstLineChars="200"/>
              <w:jc w:val="both"/>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标准验证</w:t>
            </w:r>
          </w:p>
        </w:tc>
      </w:tr>
      <w:tr w14:paraId="776C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5475F2C5">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郭岚</w:t>
            </w:r>
          </w:p>
        </w:tc>
        <w:tc>
          <w:tcPr>
            <w:tcW w:w="997" w:type="pct"/>
            <w:vAlign w:val="center"/>
          </w:tcPr>
          <w:p w14:paraId="4225C46E">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研究员</w:t>
            </w:r>
          </w:p>
        </w:tc>
        <w:tc>
          <w:tcPr>
            <w:tcW w:w="2076" w:type="pct"/>
            <w:vAlign w:val="center"/>
          </w:tcPr>
          <w:p w14:paraId="1A5230BA">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南昌大学</w:t>
            </w:r>
          </w:p>
        </w:tc>
        <w:tc>
          <w:tcPr>
            <w:tcW w:w="1104" w:type="pct"/>
            <w:vAlign w:val="center"/>
          </w:tcPr>
          <w:p w14:paraId="7EE33B86">
            <w:pPr>
              <w:spacing w:line="240" w:lineRule="auto"/>
              <w:ind w:firstLine="480" w:firstLineChars="20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标准验证</w:t>
            </w:r>
          </w:p>
        </w:tc>
      </w:tr>
      <w:tr w14:paraId="6ACBB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3C40DC79">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柳英霞</w:t>
            </w:r>
          </w:p>
        </w:tc>
        <w:tc>
          <w:tcPr>
            <w:tcW w:w="997" w:type="pct"/>
            <w:vAlign w:val="center"/>
          </w:tcPr>
          <w:p w14:paraId="2C124DC7">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高级实验师</w:t>
            </w:r>
          </w:p>
        </w:tc>
        <w:tc>
          <w:tcPr>
            <w:tcW w:w="2076" w:type="pct"/>
            <w:vAlign w:val="center"/>
          </w:tcPr>
          <w:p w14:paraId="71FA94C2">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南昌大学</w:t>
            </w:r>
          </w:p>
        </w:tc>
        <w:tc>
          <w:tcPr>
            <w:tcW w:w="1104" w:type="pct"/>
            <w:vAlign w:val="center"/>
          </w:tcPr>
          <w:p w14:paraId="1B2800DA">
            <w:pPr>
              <w:spacing w:line="240" w:lineRule="auto"/>
              <w:ind w:firstLine="480" w:firstLineChars="20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标准验证</w:t>
            </w:r>
          </w:p>
        </w:tc>
      </w:tr>
      <w:tr w14:paraId="7C673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32527292">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李汉菲</w:t>
            </w:r>
          </w:p>
        </w:tc>
        <w:tc>
          <w:tcPr>
            <w:tcW w:w="997" w:type="pct"/>
            <w:vAlign w:val="center"/>
          </w:tcPr>
          <w:p w14:paraId="4A9A16E4">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助理实验师</w:t>
            </w:r>
          </w:p>
        </w:tc>
        <w:tc>
          <w:tcPr>
            <w:tcW w:w="2076" w:type="pct"/>
            <w:vAlign w:val="center"/>
          </w:tcPr>
          <w:p w14:paraId="2CEE4E30">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南昌大学</w:t>
            </w:r>
          </w:p>
        </w:tc>
        <w:tc>
          <w:tcPr>
            <w:tcW w:w="1104" w:type="pct"/>
            <w:vAlign w:val="center"/>
          </w:tcPr>
          <w:p w14:paraId="7308A1C4">
            <w:pPr>
              <w:spacing w:line="240" w:lineRule="auto"/>
              <w:ind w:firstLine="480" w:firstLineChars="20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标准验证</w:t>
            </w:r>
          </w:p>
        </w:tc>
      </w:tr>
      <w:tr w14:paraId="713EF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79376FF9">
            <w:pPr>
              <w:spacing w:line="240" w:lineRule="auto"/>
              <w:ind w:left="0" w:leftChars="0"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sz w:val="24"/>
                <w:szCs w:val="24"/>
              </w:rPr>
              <w:t>彭元艺</w:t>
            </w:r>
          </w:p>
        </w:tc>
        <w:tc>
          <w:tcPr>
            <w:tcW w:w="997" w:type="pct"/>
            <w:vAlign w:val="center"/>
          </w:tcPr>
          <w:p w14:paraId="4EE88020">
            <w:pPr>
              <w:spacing w:line="240" w:lineRule="auto"/>
              <w:ind w:left="0" w:leftChars="0"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sz w:val="24"/>
                <w:szCs w:val="24"/>
              </w:rPr>
              <w:t>助理工程师</w:t>
            </w:r>
          </w:p>
        </w:tc>
        <w:tc>
          <w:tcPr>
            <w:tcW w:w="2076" w:type="pct"/>
            <w:vAlign w:val="center"/>
          </w:tcPr>
          <w:p w14:paraId="67AA779D">
            <w:pPr>
              <w:spacing w:line="240" w:lineRule="auto"/>
              <w:ind w:left="0" w:leftChars="0" w:firstLine="0" w:firstLineChars="0"/>
              <w:jc w:val="both"/>
              <w:rPr>
                <w:rFonts w:hint="eastAsia" w:ascii="仿宋" w:hAnsi="仿宋" w:eastAsia="仿宋" w:cs="仿宋"/>
                <w:b w:val="0"/>
                <w:bCs w:val="0"/>
                <w:sz w:val="24"/>
                <w:szCs w:val="24"/>
                <w:lang w:eastAsia="zh-CN"/>
              </w:rPr>
            </w:pPr>
            <w:r>
              <w:rPr>
                <w:rFonts w:hint="eastAsia" w:ascii="仿宋" w:hAnsi="仿宋" w:eastAsia="仿宋" w:cs="仿宋"/>
                <w:sz w:val="24"/>
                <w:szCs w:val="24"/>
              </w:rPr>
              <w:t>江西省景德镇生态环境监测中心</w:t>
            </w:r>
          </w:p>
        </w:tc>
        <w:tc>
          <w:tcPr>
            <w:tcW w:w="1104" w:type="pct"/>
            <w:vAlign w:val="center"/>
          </w:tcPr>
          <w:p w14:paraId="3C0B6566">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sz w:val="24"/>
                <w:szCs w:val="24"/>
              </w:rPr>
              <w:t>标准验证</w:t>
            </w:r>
          </w:p>
        </w:tc>
      </w:tr>
      <w:tr w14:paraId="0CA65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1E94B30A">
            <w:pPr>
              <w:spacing w:line="240" w:lineRule="auto"/>
              <w:ind w:left="0" w:leftChars="0"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sz w:val="24"/>
                <w:szCs w:val="24"/>
              </w:rPr>
              <w:t>巢  磊</w:t>
            </w:r>
          </w:p>
        </w:tc>
        <w:tc>
          <w:tcPr>
            <w:tcW w:w="997" w:type="pct"/>
            <w:vAlign w:val="center"/>
          </w:tcPr>
          <w:p w14:paraId="7E2647BD">
            <w:pPr>
              <w:spacing w:line="240" w:lineRule="auto"/>
              <w:ind w:left="0" w:leftChars="0"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sz w:val="24"/>
                <w:szCs w:val="24"/>
              </w:rPr>
              <w:t>助理工程师</w:t>
            </w:r>
          </w:p>
        </w:tc>
        <w:tc>
          <w:tcPr>
            <w:tcW w:w="2076" w:type="pct"/>
            <w:vAlign w:val="center"/>
          </w:tcPr>
          <w:p w14:paraId="295C30EE">
            <w:pPr>
              <w:spacing w:line="240" w:lineRule="auto"/>
              <w:ind w:left="0" w:leftChars="0" w:firstLine="0" w:firstLineChars="0"/>
              <w:jc w:val="both"/>
              <w:rPr>
                <w:rFonts w:hint="eastAsia" w:ascii="仿宋" w:hAnsi="仿宋" w:eastAsia="仿宋" w:cs="仿宋"/>
                <w:b w:val="0"/>
                <w:bCs w:val="0"/>
                <w:sz w:val="24"/>
                <w:szCs w:val="24"/>
                <w:lang w:eastAsia="zh-CN"/>
              </w:rPr>
            </w:pPr>
            <w:r>
              <w:rPr>
                <w:rFonts w:hint="eastAsia" w:ascii="仿宋" w:hAnsi="仿宋" w:eastAsia="仿宋" w:cs="仿宋"/>
                <w:sz w:val="24"/>
                <w:szCs w:val="24"/>
              </w:rPr>
              <w:t>江西省景德镇生态环境监测中心</w:t>
            </w:r>
          </w:p>
        </w:tc>
        <w:tc>
          <w:tcPr>
            <w:tcW w:w="1104" w:type="pct"/>
            <w:vAlign w:val="center"/>
          </w:tcPr>
          <w:p w14:paraId="29FF6DAD">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sz w:val="24"/>
                <w:szCs w:val="24"/>
              </w:rPr>
              <w:t>标准验证</w:t>
            </w:r>
          </w:p>
        </w:tc>
      </w:tr>
      <w:tr w14:paraId="43E1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22441F86">
            <w:pPr>
              <w:spacing w:line="240" w:lineRule="auto"/>
              <w:ind w:left="0" w:leftChars="0"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sz w:val="24"/>
                <w:szCs w:val="24"/>
              </w:rPr>
              <w:t>袁语霜</w:t>
            </w:r>
          </w:p>
        </w:tc>
        <w:tc>
          <w:tcPr>
            <w:tcW w:w="997" w:type="pct"/>
            <w:vAlign w:val="center"/>
          </w:tcPr>
          <w:p w14:paraId="1269CBDC">
            <w:pPr>
              <w:spacing w:line="240" w:lineRule="auto"/>
              <w:ind w:left="0" w:leftChars="0"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sz w:val="24"/>
                <w:szCs w:val="24"/>
              </w:rPr>
              <w:t>工程师</w:t>
            </w:r>
          </w:p>
        </w:tc>
        <w:tc>
          <w:tcPr>
            <w:tcW w:w="2076" w:type="pct"/>
            <w:vAlign w:val="center"/>
          </w:tcPr>
          <w:p w14:paraId="0A79AF13">
            <w:pPr>
              <w:spacing w:line="240" w:lineRule="auto"/>
              <w:ind w:left="0" w:leftChars="0" w:firstLine="0" w:firstLineChars="0"/>
              <w:jc w:val="both"/>
              <w:rPr>
                <w:rFonts w:hint="eastAsia" w:ascii="仿宋" w:hAnsi="仿宋" w:eastAsia="仿宋" w:cs="仿宋"/>
                <w:b w:val="0"/>
                <w:bCs w:val="0"/>
                <w:sz w:val="24"/>
                <w:szCs w:val="24"/>
                <w:lang w:eastAsia="zh-CN"/>
              </w:rPr>
            </w:pPr>
            <w:r>
              <w:rPr>
                <w:rFonts w:hint="eastAsia" w:ascii="仿宋" w:hAnsi="仿宋" w:eastAsia="仿宋" w:cs="仿宋"/>
                <w:sz w:val="24"/>
                <w:szCs w:val="24"/>
              </w:rPr>
              <w:t>江西省景德镇生态环境监测中心</w:t>
            </w:r>
          </w:p>
        </w:tc>
        <w:tc>
          <w:tcPr>
            <w:tcW w:w="1104" w:type="pct"/>
            <w:vAlign w:val="center"/>
          </w:tcPr>
          <w:p w14:paraId="0D40CF6C">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sz w:val="24"/>
                <w:szCs w:val="24"/>
              </w:rPr>
              <w:t>标准验证</w:t>
            </w:r>
          </w:p>
        </w:tc>
      </w:tr>
      <w:tr w14:paraId="7628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2507C56E">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欧阳泉根</w:t>
            </w:r>
          </w:p>
        </w:tc>
        <w:tc>
          <w:tcPr>
            <w:tcW w:w="997" w:type="pct"/>
            <w:vAlign w:val="center"/>
          </w:tcPr>
          <w:p w14:paraId="5900AB59">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高级工程师</w:t>
            </w:r>
          </w:p>
        </w:tc>
        <w:tc>
          <w:tcPr>
            <w:tcW w:w="2076" w:type="pct"/>
            <w:vAlign w:val="center"/>
          </w:tcPr>
          <w:p w14:paraId="6AEF11CA">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核工业二八0研究所</w:t>
            </w:r>
          </w:p>
        </w:tc>
        <w:tc>
          <w:tcPr>
            <w:tcW w:w="1104" w:type="pct"/>
            <w:vAlign w:val="center"/>
          </w:tcPr>
          <w:p w14:paraId="42439D59">
            <w:pPr>
              <w:spacing w:line="240" w:lineRule="auto"/>
              <w:ind w:firstLine="0" w:firstLineChars="0"/>
              <w:jc w:val="center"/>
              <w:rPr>
                <w:rFonts w:hint="eastAsia" w:ascii="仿宋" w:hAnsi="仿宋" w:eastAsia="仿宋" w:cs="仿宋"/>
                <w:b w:val="0"/>
                <w:bCs w:val="0"/>
                <w:sz w:val="24"/>
                <w:szCs w:val="24"/>
              </w:rPr>
            </w:pPr>
            <w:r>
              <w:rPr>
                <w:rFonts w:hint="eastAsia" w:ascii="宋体" w:hAnsi="宋体" w:eastAsia="宋体" w:cs="宋体"/>
                <w:sz w:val="21"/>
                <w:szCs w:val="21"/>
              </w:rPr>
              <w:t>标准验证</w:t>
            </w:r>
          </w:p>
        </w:tc>
      </w:tr>
      <w:tr w14:paraId="67844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781F44CC">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李晓燕</w:t>
            </w:r>
          </w:p>
        </w:tc>
        <w:tc>
          <w:tcPr>
            <w:tcW w:w="997" w:type="pct"/>
            <w:vAlign w:val="center"/>
          </w:tcPr>
          <w:p w14:paraId="75FDD777">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高级工程师</w:t>
            </w:r>
          </w:p>
        </w:tc>
        <w:tc>
          <w:tcPr>
            <w:tcW w:w="2076" w:type="pct"/>
            <w:vAlign w:val="center"/>
          </w:tcPr>
          <w:p w14:paraId="0786D265">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核工业二八0研究所</w:t>
            </w:r>
          </w:p>
        </w:tc>
        <w:tc>
          <w:tcPr>
            <w:tcW w:w="1104" w:type="pct"/>
            <w:vAlign w:val="center"/>
          </w:tcPr>
          <w:p w14:paraId="62BCAA32">
            <w:pPr>
              <w:spacing w:line="240" w:lineRule="auto"/>
              <w:ind w:firstLine="0" w:firstLineChars="0"/>
              <w:jc w:val="center"/>
              <w:rPr>
                <w:rFonts w:hint="eastAsia" w:ascii="仿宋" w:hAnsi="仿宋" w:eastAsia="仿宋" w:cs="仿宋"/>
                <w:b w:val="0"/>
                <w:bCs w:val="0"/>
                <w:sz w:val="24"/>
                <w:szCs w:val="24"/>
              </w:rPr>
            </w:pPr>
            <w:r>
              <w:rPr>
                <w:rFonts w:hint="eastAsia" w:ascii="宋体" w:hAnsi="宋体" w:eastAsia="宋体" w:cs="宋体"/>
                <w:sz w:val="21"/>
                <w:szCs w:val="21"/>
              </w:rPr>
              <w:t>标准验证</w:t>
            </w:r>
          </w:p>
        </w:tc>
      </w:tr>
      <w:tr w14:paraId="0DA10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1EE687C0">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黄龙</w:t>
            </w:r>
          </w:p>
        </w:tc>
        <w:tc>
          <w:tcPr>
            <w:tcW w:w="997" w:type="pct"/>
            <w:vAlign w:val="center"/>
          </w:tcPr>
          <w:p w14:paraId="6CD543D4">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助理工程师</w:t>
            </w:r>
          </w:p>
        </w:tc>
        <w:tc>
          <w:tcPr>
            <w:tcW w:w="2076" w:type="pct"/>
            <w:vAlign w:val="center"/>
          </w:tcPr>
          <w:p w14:paraId="3B4ADDC9">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核工业二八0研究所</w:t>
            </w:r>
          </w:p>
        </w:tc>
        <w:tc>
          <w:tcPr>
            <w:tcW w:w="1104" w:type="pct"/>
            <w:vAlign w:val="center"/>
          </w:tcPr>
          <w:p w14:paraId="4283B680">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标准验证</w:t>
            </w:r>
          </w:p>
        </w:tc>
      </w:tr>
      <w:tr w14:paraId="35508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6874D11C">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田晓照</w:t>
            </w:r>
          </w:p>
        </w:tc>
        <w:tc>
          <w:tcPr>
            <w:tcW w:w="997" w:type="pct"/>
            <w:vAlign w:val="center"/>
          </w:tcPr>
          <w:p w14:paraId="5251C0FE">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高级工程师</w:t>
            </w:r>
          </w:p>
        </w:tc>
        <w:tc>
          <w:tcPr>
            <w:tcW w:w="2076" w:type="pct"/>
            <w:vAlign w:val="center"/>
          </w:tcPr>
          <w:p w14:paraId="61B1B87E">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核工业二九0研究所</w:t>
            </w:r>
          </w:p>
        </w:tc>
        <w:tc>
          <w:tcPr>
            <w:tcW w:w="1104" w:type="pct"/>
            <w:vAlign w:val="center"/>
          </w:tcPr>
          <w:p w14:paraId="2BC65FC1">
            <w:pPr>
              <w:spacing w:line="240" w:lineRule="auto"/>
              <w:ind w:firstLine="0" w:firstLineChars="0"/>
              <w:jc w:val="center"/>
              <w:rPr>
                <w:rFonts w:hint="eastAsia" w:ascii="仿宋" w:hAnsi="仿宋" w:eastAsia="仿宋" w:cs="仿宋"/>
                <w:b w:val="0"/>
                <w:bCs w:val="0"/>
                <w:sz w:val="24"/>
                <w:szCs w:val="24"/>
              </w:rPr>
            </w:pPr>
            <w:r>
              <w:rPr>
                <w:rFonts w:hint="eastAsia" w:ascii="宋体" w:hAnsi="宋体" w:eastAsia="宋体" w:cs="宋体"/>
                <w:sz w:val="21"/>
                <w:szCs w:val="21"/>
              </w:rPr>
              <w:t>标准验证</w:t>
            </w:r>
          </w:p>
        </w:tc>
      </w:tr>
      <w:tr w14:paraId="3967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228A1192">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潘伟超</w:t>
            </w:r>
          </w:p>
        </w:tc>
        <w:tc>
          <w:tcPr>
            <w:tcW w:w="997" w:type="pct"/>
            <w:vAlign w:val="center"/>
          </w:tcPr>
          <w:p w14:paraId="0D316BD9">
            <w:pPr>
              <w:spacing w:line="240" w:lineRule="auto"/>
              <w:ind w:firstLine="0" w:firstLineChars="0"/>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工程师</w:t>
            </w:r>
          </w:p>
        </w:tc>
        <w:tc>
          <w:tcPr>
            <w:tcW w:w="2076" w:type="pct"/>
            <w:vAlign w:val="center"/>
          </w:tcPr>
          <w:p w14:paraId="18FCF80D">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核工业二九0研究所</w:t>
            </w:r>
          </w:p>
        </w:tc>
        <w:tc>
          <w:tcPr>
            <w:tcW w:w="1104" w:type="pct"/>
            <w:vAlign w:val="center"/>
          </w:tcPr>
          <w:p w14:paraId="1FE8D76C">
            <w:pPr>
              <w:spacing w:line="240" w:lineRule="auto"/>
              <w:ind w:firstLine="0" w:firstLineChars="0"/>
              <w:jc w:val="center"/>
              <w:rPr>
                <w:rFonts w:hint="eastAsia" w:ascii="仿宋" w:hAnsi="仿宋" w:eastAsia="仿宋" w:cs="仿宋"/>
                <w:b w:val="0"/>
                <w:bCs w:val="0"/>
                <w:sz w:val="24"/>
                <w:szCs w:val="24"/>
              </w:rPr>
            </w:pPr>
            <w:r>
              <w:rPr>
                <w:rFonts w:hint="eastAsia" w:ascii="宋体" w:hAnsi="宋体" w:eastAsia="宋体" w:cs="宋体"/>
                <w:sz w:val="21"/>
                <w:szCs w:val="21"/>
              </w:rPr>
              <w:t>标准验证</w:t>
            </w:r>
          </w:p>
        </w:tc>
      </w:tr>
      <w:tr w14:paraId="1EB40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2" w:type="pct"/>
            <w:vAlign w:val="center"/>
          </w:tcPr>
          <w:p w14:paraId="2A4ACD6F">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李海燕</w:t>
            </w:r>
          </w:p>
        </w:tc>
        <w:tc>
          <w:tcPr>
            <w:tcW w:w="997" w:type="pct"/>
            <w:vAlign w:val="center"/>
          </w:tcPr>
          <w:p w14:paraId="531BBACA">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助理工程师</w:t>
            </w:r>
          </w:p>
        </w:tc>
        <w:tc>
          <w:tcPr>
            <w:tcW w:w="3667" w:type="dxa"/>
            <w:vAlign w:val="center"/>
          </w:tcPr>
          <w:p w14:paraId="56E98101">
            <w:pPr>
              <w:spacing w:line="240" w:lineRule="auto"/>
              <w:ind w:firstLine="0" w:firstLineChars="0"/>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核工业二九0研究所</w:t>
            </w:r>
          </w:p>
        </w:tc>
        <w:tc>
          <w:tcPr>
            <w:tcW w:w="1950" w:type="dxa"/>
            <w:vAlign w:val="center"/>
          </w:tcPr>
          <w:p w14:paraId="7CCB56BF">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标准验证</w:t>
            </w:r>
          </w:p>
        </w:tc>
      </w:tr>
    </w:tbl>
    <w:p w14:paraId="258A437C">
      <w:pPr>
        <w:pStyle w:val="2"/>
        <w:numPr>
          <w:ilvl w:val="0"/>
          <w:numId w:val="0"/>
        </w:numPr>
        <w:bidi w:val="0"/>
        <w:rPr>
          <w:rFonts w:hint="eastAsia" w:ascii="Times New Roman" w:hAnsi="Times New Roman" w:eastAsia="宋体" w:cs="Times New Roman"/>
          <w:b/>
          <w:bCs w:val="0"/>
          <w:kern w:val="2"/>
          <w:sz w:val="28"/>
          <w:szCs w:val="28"/>
          <w:lang w:val="en-US" w:eastAsia="zh-CN" w:bidi="ar-SA"/>
        </w:rPr>
      </w:pPr>
      <w:r>
        <w:rPr>
          <w:rFonts w:hint="eastAsia" w:ascii="Times New Roman" w:hAnsi="Times New Roman" w:cs="Times New Roman"/>
          <w:b/>
          <w:bCs w:val="0"/>
          <w:kern w:val="2"/>
          <w:sz w:val="28"/>
          <w:szCs w:val="28"/>
          <w:lang w:val="en-US" w:eastAsia="zh-CN" w:bidi="ar-SA"/>
        </w:rPr>
        <w:t>1.5</w:t>
      </w:r>
      <w:r>
        <w:rPr>
          <w:rFonts w:hint="eastAsia" w:ascii="Times New Roman" w:hAnsi="Times New Roman" w:eastAsia="宋体" w:cs="Times New Roman"/>
          <w:b/>
          <w:bCs w:val="0"/>
          <w:kern w:val="2"/>
          <w:sz w:val="28"/>
          <w:szCs w:val="28"/>
          <w:lang w:val="en-US" w:eastAsia="zh-CN" w:bidi="ar-SA"/>
        </w:rPr>
        <w:t>编写依据</w:t>
      </w:r>
    </w:p>
    <w:p w14:paraId="6502ECCE">
      <w:pPr>
        <w:ind w:firstLine="480"/>
        <w:rPr>
          <w:rFonts w:hint="eastAsia" w:ascii="仿宋" w:hAnsi="仿宋" w:eastAsia="仿宋" w:cs="仿宋"/>
          <w:sz w:val="24"/>
          <w:szCs w:val="24"/>
        </w:rPr>
      </w:pPr>
      <w:r>
        <w:rPr>
          <w:rFonts w:hint="eastAsia" w:ascii="仿宋" w:hAnsi="仿宋" w:eastAsia="仿宋" w:cs="仿宋"/>
          <w:sz w:val="24"/>
          <w:szCs w:val="24"/>
          <w:lang w:eastAsia="zh-CN"/>
        </w:rPr>
        <w:t>《中华人民共和国标准化法》《江西省标准化条例》《江西省地方标准管理办法》《</w:t>
      </w:r>
      <w:r>
        <w:rPr>
          <w:rFonts w:hint="eastAsia" w:ascii="仿宋" w:hAnsi="仿宋" w:eastAsia="仿宋" w:cs="仿宋"/>
          <w:sz w:val="24"/>
          <w:szCs w:val="24"/>
        </w:rPr>
        <w:t>标准化工作导则 第1部分：标准化文件的结构和起草规则》GB/T 1.1—2020。</w:t>
      </w:r>
    </w:p>
    <w:p w14:paraId="26B51AD7">
      <w:pPr>
        <w:pStyle w:val="2"/>
        <w:rPr>
          <w:rFonts w:hint="eastAsia" w:ascii="Times New Roman" w:hAnsi="Times New Roman" w:eastAsia="宋体" w:cs="Times New Roman"/>
          <w:lang w:eastAsia="zh-CN"/>
        </w:rPr>
      </w:pPr>
      <w:r>
        <w:rPr>
          <w:rFonts w:hint="eastAsia" w:ascii="宋体" w:hAnsi="宋体" w:eastAsia="宋体" w:cs="宋体"/>
          <w:sz w:val="30"/>
          <w:szCs w:val="30"/>
          <w:lang w:val="en-US" w:eastAsia="zh-CN"/>
        </w:rPr>
        <w:t>2</w:t>
      </w:r>
      <w:r>
        <w:rPr>
          <w:rFonts w:ascii="Times New Roman" w:hAnsi="Times New Roman" w:cs="Times New Roman"/>
        </w:rPr>
        <w:t>标准</w:t>
      </w:r>
      <w:r>
        <w:rPr>
          <w:rFonts w:hint="eastAsia" w:ascii="Times New Roman" w:hAnsi="Times New Roman" w:cs="Times New Roman"/>
          <w:lang w:eastAsia="zh-CN"/>
        </w:rPr>
        <w:t>制定</w:t>
      </w:r>
      <w:r>
        <w:rPr>
          <w:rFonts w:ascii="Times New Roman" w:hAnsi="Times New Roman" w:cs="Times New Roman"/>
        </w:rPr>
        <w:t>的必要性</w:t>
      </w:r>
      <w:r>
        <w:rPr>
          <w:rFonts w:hint="eastAsia" w:ascii="Times New Roman" w:hAnsi="Times New Roman" w:cs="Times New Roman"/>
          <w:lang w:eastAsia="zh-CN"/>
        </w:rPr>
        <w:t>和可行性</w:t>
      </w:r>
    </w:p>
    <w:p w14:paraId="39AE7721">
      <w:pPr>
        <w:pStyle w:val="2"/>
        <w:numPr>
          <w:ilvl w:val="0"/>
          <w:numId w:val="0"/>
        </w:numPr>
        <w:bidi w:val="0"/>
        <w:rPr>
          <w:rFonts w:hint="eastAsia" w:ascii="Times New Roman" w:hAnsi="Times New Roman" w:eastAsia="宋体" w:cs="Times New Roman"/>
          <w:b/>
          <w:bCs w:val="0"/>
          <w:kern w:val="2"/>
          <w:sz w:val="28"/>
          <w:szCs w:val="28"/>
          <w:lang w:val="en-US" w:eastAsia="zh-CN" w:bidi="ar-SA"/>
        </w:rPr>
      </w:pPr>
      <w:r>
        <w:rPr>
          <w:rFonts w:hint="eastAsia" w:ascii="Times New Roman" w:hAnsi="Times New Roman" w:cs="Times New Roman"/>
          <w:b/>
          <w:bCs w:val="0"/>
          <w:kern w:val="2"/>
          <w:sz w:val="28"/>
          <w:szCs w:val="28"/>
          <w:lang w:val="en-US" w:eastAsia="zh-CN" w:bidi="ar-SA"/>
        </w:rPr>
        <w:t>2.1</w:t>
      </w:r>
      <w:r>
        <w:rPr>
          <w:rFonts w:hint="eastAsia" w:ascii="Times New Roman" w:hAnsi="Times New Roman" w:eastAsia="宋体" w:cs="Times New Roman"/>
          <w:b/>
          <w:bCs w:val="0"/>
          <w:kern w:val="2"/>
          <w:sz w:val="28"/>
          <w:szCs w:val="28"/>
          <w:lang w:val="en-US" w:eastAsia="zh-CN" w:bidi="ar-SA"/>
        </w:rPr>
        <w:t>标准编制的必要性</w:t>
      </w:r>
    </w:p>
    <w:p w14:paraId="596A9774">
      <w:pPr>
        <w:pStyle w:val="2"/>
        <w:numPr>
          <w:ilvl w:val="0"/>
          <w:numId w:val="0"/>
        </w:numPr>
        <w:bidi w:val="0"/>
        <w:rPr>
          <w:rFonts w:hint="eastAsia" w:ascii="Times New Roman" w:hAnsi="Times New Roman" w:eastAsia="宋体" w:cs="Times New Roman"/>
          <w:b/>
          <w:bCs w:val="0"/>
          <w:kern w:val="2"/>
          <w:sz w:val="24"/>
          <w:szCs w:val="32"/>
          <w:lang w:val="en-US" w:eastAsia="zh-CN" w:bidi="ar-SA"/>
        </w:rPr>
      </w:pPr>
      <w:r>
        <w:rPr>
          <w:rFonts w:hint="eastAsia" w:ascii="Times New Roman" w:hAnsi="Times New Roman" w:cs="Times New Roman"/>
          <w:b/>
          <w:bCs w:val="0"/>
          <w:kern w:val="2"/>
          <w:sz w:val="24"/>
          <w:szCs w:val="32"/>
          <w:lang w:val="en-US" w:eastAsia="zh-CN" w:bidi="ar-SA"/>
        </w:rPr>
        <w:t>2.</w:t>
      </w:r>
      <w:r>
        <w:rPr>
          <w:rFonts w:hint="eastAsia" w:ascii="Times New Roman" w:hAnsi="Times New Roman" w:eastAsia="宋体" w:cs="Times New Roman"/>
          <w:b/>
          <w:bCs w:val="0"/>
          <w:kern w:val="2"/>
          <w:sz w:val="24"/>
          <w:szCs w:val="32"/>
          <w:lang w:val="en-US" w:eastAsia="zh-CN" w:bidi="ar-SA"/>
        </w:rPr>
        <w:t>1.1天然放射性核素铀、钍主要特性及分布情况</w:t>
      </w:r>
    </w:p>
    <w:p w14:paraId="65591CDD">
      <w:pPr>
        <w:ind w:firstLine="480"/>
        <w:rPr>
          <w:rFonts w:ascii="Times New Roman" w:hAnsi="Times New Roman" w:eastAsia="仿宋_GB2312" w:cs="Times New Roman"/>
        </w:rPr>
      </w:pPr>
      <w:r>
        <w:rPr>
          <w:rFonts w:hint="eastAsia" w:ascii="Times New Roman" w:hAnsi="Times New Roman" w:eastAsia="仿宋" w:cs="Times New Roman"/>
          <w:color w:val="000000"/>
          <w:sz w:val="24"/>
          <w:lang w:bidi="en-US"/>
        </w:rPr>
        <w:t>铀、钍为三大天然放射系铀系、锕系、钍系母体，其半衰期长，具有放射性和核裂变特性。铀的地球化学性质十分活泼，易于迁移分散，分布广泛。在铌钽酸盐、稀土、钛矿物、锆矿物、磷灰石、煌斑岩、辉绿石、煤、碳质页岩中广泛分布。钍的离子半径与钇、钛、锆、铌、钽、钙和镧系元素接近，以类质同象进入这些元素矿物中，特别重要的是独居石、钛锆矿、易解石、烧绿石、褐钇铌矿等矿物中钍均有较高的含量。</w:t>
      </w:r>
    </w:p>
    <w:p w14:paraId="05E13793">
      <w:pPr>
        <w:pStyle w:val="2"/>
        <w:bidi w:val="0"/>
        <w:rPr>
          <w:rFonts w:hint="eastAsia" w:ascii="Times New Roman" w:hAnsi="Times New Roman" w:eastAsia="宋体" w:cs="Times New Roman"/>
          <w:b/>
          <w:bCs w:val="0"/>
          <w:kern w:val="2"/>
          <w:sz w:val="24"/>
          <w:szCs w:val="32"/>
          <w:lang w:val="en-US" w:eastAsia="zh-CN" w:bidi="ar-SA"/>
        </w:rPr>
      </w:pPr>
      <w:r>
        <w:rPr>
          <w:rFonts w:hint="eastAsia" w:ascii="Times New Roman" w:hAnsi="Times New Roman" w:eastAsia="仿宋" w:cs="Times New Roman"/>
          <w:color w:val="000000"/>
          <w:sz w:val="24"/>
          <w:lang w:bidi="en-US"/>
        </w:rPr>
        <w:t xml:space="preserve"> </w:t>
      </w:r>
      <w:r>
        <w:rPr>
          <w:rFonts w:hint="eastAsia" w:ascii="Times New Roman" w:hAnsi="Times New Roman" w:eastAsia="仿宋" w:cs="Times New Roman"/>
          <w:color w:val="000000"/>
          <w:sz w:val="24"/>
          <w:lang w:val="en-US" w:eastAsia="zh-CN" w:bidi="en-US"/>
        </w:rPr>
        <w:t>2.</w:t>
      </w:r>
      <w:r>
        <w:rPr>
          <w:rFonts w:hint="eastAsia" w:ascii="Times New Roman" w:hAnsi="Times New Roman" w:eastAsia="宋体" w:cs="Times New Roman"/>
          <w:b/>
          <w:bCs w:val="0"/>
          <w:kern w:val="2"/>
          <w:sz w:val="24"/>
          <w:szCs w:val="32"/>
          <w:lang w:val="en-US" w:eastAsia="zh-CN" w:bidi="ar-SA"/>
        </w:rPr>
        <w:t>1.2江西省伴生放射性矿企业产废现状</w:t>
      </w:r>
    </w:p>
    <w:p w14:paraId="334B312D">
      <w:pPr>
        <w:ind w:firstLine="480"/>
        <w:rPr>
          <w:rFonts w:hint="eastAsia" w:ascii="Times New Roman" w:hAnsi="Times New Roman" w:eastAsia="仿宋" w:cs="Times New Roman"/>
          <w:color w:val="000000"/>
          <w:sz w:val="24"/>
          <w:lang w:bidi="en-US"/>
        </w:rPr>
      </w:pPr>
      <w:r>
        <w:rPr>
          <w:rFonts w:hint="eastAsia" w:ascii="Times New Roman" w:hAnsi="Times New Roman" w:eastAsia="仿宋" w:cs="Times New Roman"/>
          <w:color w:val="000000"/>
          <w:sz w:val="24"/>
          <w:lang w:bidi="en-US"/>
        </w:rPr>
        <w:t>江西省具有非常丰富的稀土矿、铌钽矿、独居石、钛锆矿等矿产资源，全省分布稀土矿、铌钽矿、独居石、钛锆矿等伴生放射性矿资源利用企业三十余家（全国464家），各企业在生产经营过程中产生大量富集天然放射性核素、放射性水平高于环境本地的物料和废渣。2017年，全国伴生放射性固体废物产生量1.12</w:t>
      </w:r>
      <w:r>
        <w:rPr>
          <w:rFonts w:hint="eastAsia" w:ascii="Times New Roman" w:hAnsi="Times New Roman" w:eastAsia="仿宋" w:cs="Times New Roman"/>
          <w:color w:val="000000"/>
          <w:sz w:val="24"/>
          <w:lang w:eastAsia="zh-CN" w:bidi="en-US"/>
        </w:rPr>
        <w:t>亿吨</w:t>
      </w:r>
      <w:r>
        <w:rPr>
          <w:rFonts w:hint="eastAsia" w:ascii="Times New Roman" w:hAnsi="Times New Roman" w:eastAsia="仿宋" w:cs="Times New Roman"/>
          <w:color w:val="000000"/>
          <w:sz w:val="24"/>
          <w:lang w:bidi="en-US"/>
        </w:rPr>
        <w:t>（二污普统计），江西稀土矿、铌钽矿、独居石、钛锆矿等是主要的产废矿产</w:t>
      </w:r>
      <w:r>
        <w:rPr>
          <w:rFonts w:hint="eastAsia" w:ascii="Times New Roman" w:hAnsi="Times New Roman" w:eastAsia="仿宋" w:cs="Times New Roman"/>
          <w:color w:val="000000"/>
          <w:sz w:val="24"/>
          <w:lang w:eastAsia="zh-CN" w:bidi="en-US"/>
        </w:rPr>
        <w:t>，</w:t>
      </w:r>
      <w:r>
        <w:rPr>
          <w:rFonts w:hint="eastAsia" w:ascii="Times New Roman" w:hAnsi="Times New Roman" w:eastAsia="仿宋" w:cs="Times New Roman"/>
          <w:color w:val="000000"/>
          <w:sz w:val="24"/>
          <w:lang w:bidi="en-US"/>
        </w:rPr>
        <w:t>这些矿产或废渣中均含有不同活度的铀和钍。</w:t>
      </w:r>
    </w:p>
    <w:p w14:paraId="705C3BC2">
      <w:pPr>
        <w:pStyle w:val="2"/>
        <w:bidi w:val="0"/>
        <w:rPr>
          <w:rFonts w:ascii="Times New Roman" w:hAnsi="Times New Roman" w:eastAsia="仿宋" w:cs="Times New Roman"/>
          <w:b/>
          <w:color w:val="000000"/>
          <w:sz w:val="24"/>
          <w:lang w:bidi="en-US"/>
        </w:rPr>
      </w:pPr>
      <w:r>
        <w:rPr>
          <w:rFonts w:hint="eastAsia" w:ascii="Times New Roman" w:hAnsi="Times New Roman" w:eastAsia="仿宋" w:cs="Times New Roman"/>
          <w:color w:val="000000"/>
          <w:sz w:val="24"/>
          <w:lang w:bidi="en-US"/>
        </w:rPr>
        <w:t xml:space="preserve"> </w:t>
      </w:r>
      <w:r>
        <w:rPr>
          <w:rFonts w:hint="eastAsia" w:ascii="Times New Roman" w:hAnsi="Times New Roman" w:eastAsia="仿宋" w:cs="Times New Roman"/>
          <w:color w:val="000000"/>
          <w:sz w:val="24"/>
          <w:lang w:val="en-US" w:eastAsia="zh-CN" w:bidi="en-US"/>
        </w:rPr>
        <w:t>2.</w:t>
      </w:r>
      <w:r>
        <w:rPr>
          <w:rFonts w:hint="eastAsia" w:ascii="Times New Roman" w:hAnsi="Times New Roman" w:eastAsia="宋体" w:cs="Times New Roman"/>
          <w:b/>
          <w:bCs w:val="0"/>
          <w:kern w:val="2"/>
          <w:sz w:val="24"/>
          <w:szCs w:val="32"/>
          <w:lang w:val="en-US" w:eastAsia="zh-CN" w:bidi="ar-SA"/>
        </w:rPr>
        <w:t>1.3伴生放射性矿企业环境辐射管理要求</w:t>
      </w:r>
    </w:p>
    <w:p w14:paraId="00F81642">
      <w:pPr>
        <w:ind w:firstLine="480"/>
        <w:rPr>
          <w:rFonts w:hint="eastAsia" w:ascii="Times New Roman" w:hAnsi="Times New Roman" w:eastAsia="仿宋" w:cs="Times New Roman"/>
          <w:color w:val="000000"/>
          <w:sz w:val="24"/>
          <w:lang w:bidi="en-US"/>
        </w:rPr>
      </w:pPr>
      <w:r>
        <w:rPr>
          <w:rFonts w:hint="eastAsia" w:ascii="Times New Roman" w:hAnsi="Times New Roman" w:eastAsia="仿宋" w:cs="Times New Roman"/>
          <w:color w:val="000000"/>
          <w:sz w:val="24"/>
          <w:lang w:bidi="en-US"/>
        </w:rPr>
        <w:t>2018年7月，生态环境部发布的《关于发布“伴生放射性矿开发利用企业环境辐射监测及信息公开办法（试行）”的公告》、2020年3月，生态环境部发布的《伴生放射性物料贮存及固体废物填埋辐射环境保护技术规范（试行）》及《伴生放射性矿环境辐射标准》</w:t>
      </w:r>
      <w:r>
        <w:rPr>
          <w:rFonts w:hint="eastAsia" w:ascii="Times New Roman" w:hAnsi="Times New Roman" w:eastAsia="仿宋" w:cs="Times New Roman"/>
          <w:color w:val="000000"/>
          <w:sz w:val="24"/>
          <w:lang w:eastAsia="zh-CN" w:bidi="en-US"/>
        </w:rPr>
        <w:t>等</w:t>
      </w:r>
      <w:r>
        <w:rPr>
          <w:rFonts w:hint="eastAsia" w:ascii="Times New Roman" w:hAnsi="Times New Roman" w:eastAsia="仿宋" w:cs="Times New Roman"/>
          <w:color w:val="000000"/>
          <w:sz w:val="24"/>
          <w:lang w:bidi="en-US"/>
        </w:rPr>
        <w:t>规范性管理文件中均重点涉及对工业企业产生的固体废物中放射性核数铀、钍的管理要求，但缺少针对固体废物中铀、钍测量的标准检测方法。为满足污染物铀、钍源头控制、循环利用、废物减量化及辐射环境质量管理要求，制定“固体废物 铀、钍的测定 电感耦合等离子体质谱法”成为必要。</w:t>
      </w:r>
    </w:p>
    <w:p w14:paraId="50ED68E9">
      <w:pPr>
        <w:pStyle w:val="2"/>
        <w:numPr>
          <w:ilvl w:val="0"/>
          <w:numId w:val="0"/>
        </w:numPr>
        <w:bidi w:val="0"/>
        <w:rPr>
          <w:rFonts w:hint="eastAsia" w:ascii="Times New Roman" w:hAnsi="Times New Roman" w:eastAsia="宋体" w:cs="Times New Roman"/>
          <w:b/>
          <w:bCs w:val="0"/>
          <w:kern w:val="2"/>
          <w:sz w:val="28"/>
          <w:szCs w:val="28"/>
          <w:lang w:val="en-US" w:eastAsia="zh-CN" w:bidi="ar-SA"/>
        </w:rPr>
      </w:pPr>
      <w:r>
        <w:rPr>
          <w:rFonts w:hint="eastAsia" w:ascii="宋体" w:hAnsi="宋体" w:cs="宋体"/>
          <w:b/>
          <w:bCs w:val="0"/>
          <w:kern w:val="2"/>
          <w:sz w:val="28"/>
          <w:szCs w:val="28"/>
          <w:lang w:val="en-US" w:eastAsia="zh-CN" w:bidi="ar-SA"/>
        </w:rPr>
        <w:t>2.2</w:t>
      </w:r>
      <w:r>
        <w:rPr>
          <w:rFonts w:hint="eastAsia" w:ascii="Times New Roman" w:hAnsi="Times New Roman" w:eastAsia="宋体" w:cs="Times New Roman"/>
          <w:b/>
          <w:bCs w:val="0"/>
          <w:kern w:val="2"/>
          <w:sz w:val="28"/>
          <w:szCs w:val="28"/>
          <w:lang w:val="en-US" w:eastAsia="zh-CN" w:bidi="ar-SA"/>
        </w:rPr>
        <w:t>标准编制的可行性</w:t>
      </w:r>
    </w:p>
    <w:p w14:paraId="36088635">
      <w:pPr>
        <w:pStyle w:val="2"/>
        <w:numPr>
          <w:ilvl w:val="0"/>
          <w:numId w:val="0"/>
        </w:numPr>
        <w:bidi w:val="0"/>
        <w:rPr>
          <w:rFonts w:hint="eastAsia" w:ascii="Times New Roman" w:hAnsi="Times New Roman" w:eastAsia="宋体" w:cs="Times New Roman"/>
          <w:b/>
          <w:bCs w:val="0"/>
          <w:kern w:val="2"/>
          <w:sz w:val="24"/>
          <w:szCs w:val="32"/>
          <w:lang w:val="en-US" w:eastAsia="zh-CN" w:bidi="ar-SA"/>
        </w:rPr>
      </w:pPr>
      <w:r>
        <w:rPr>
          <w:rFonts w:hint="eastAsia" w:ascii="Times New Roman" w:hAnsi="Times New Roman" w:cs="Times New Roman"/>
          <w:b/>
          <w:bCs w:val="0"/>
          <w:kern w:val="2"/>
          <w:sz w:val="24"/>
          <w:szCs w:val="32"/>
          <w:lang w:val="en-US" w:eastAsia="zh-CN" w:bidi="ar-SA"/>
        </w:rPr>
        <w:t>2.</w:t>
      </w:r>
      <w:r>
        <w:rPr>
          <w:rFonts w:hint="eastAsia" w:ascii="Times New Roman" w:hAnsi="Times New Roman" w:eastAsia="宋体" w:cs="Times New Roman"/>
          <w:b/>
          <w:bCs w:val="0"/>
          <w:kern w:val="2"/>
          <w:sz w:val="24"/>
          <w:szCs w:val="32"/>
          <w:lang w:val="en-US" w:eastAsia="zh-CN" w:bidi="ar-SA"/>
        </w:rPr>
        <w:t>2.1电感耦合等离子质谱仪性能及应用</w:t>
      </w:r>
    </w:p>
    <w:p w14:paraId="1056A910">
      <w:pPr>
        <w:spacing w:line="360" w:lineRule="auto"/>
        <w:ind w:firstLine="480" w:firstLineChars="200"/>
        <w:rPr>
          <w:rFonts w:ascii="仿宋" w:hAnsi="仿宋" w:eastAsia="仿宋" w:cs="Times New Roman"/>
          <w:color w:val="000000"/>
          <w:sz w:val="24"/>
          <w:szCs w:val="24"/>
          <w:lang w:bidi="en-US"/>
        </w:rPr>
      </w:pPr>
      <w:r>
        <w:rPr>
          <w:rFonts w:hint="eastAsia" w:ascii="Times New Roman" w:hAnsi="Times New Roman" w:eastAsia="仿宋" w:cs="Times New Roman"/>
          <w:color w:val="000000"/>
          <w:sz w:val="24"/>
          <w:lang w:bidi="en-US"/>
        </w:rPr>
        <w:t>电感耦合等离子质谱仪由等离子体发生器、雾化室、炬管、四极质谱仪和离子探测器组成。雾化器将溶液样品送入等离子体光源，在高温下汽化，再通过1～2毫米直径的截取板进入四极质谱分析器，经滤质器质量分离后，到达离子探测器，根据探测器的计数与浓度的比例关系，测量元素的含量或</w:t>
      </w:r>
      <w:r>
        <w:rPr>
          <w:rFonts w:hint="eastAsia" w:ascii="Times New Roman" w:hAnsi="Times New Roman" w:eastAsia="仿宋" w:cs="Times New Roman"/>
          <w:color w:val="000000"/>
          <w:sz w:val="24"/>
          <w:lang w:bidi="en-US"/>
        </w:rPr>
        <w:fldChar w:fldCharType="begin"/>
      </w:r>
      <w:r>
        <w:rPr>
          <w:rFonts w:hint="eastAsia" w:ascii="Times New Roman" w:hAnsi="Times New Roman" w:eastAsia="仿宋" w:cs="Times New Roman"/>
          <w:color w:val="000000"/>
          <w:sz w:val="24"/>
          <w:lang w:bidi="en-US"/>
        </w:rPr>
        <w:instrText xml:space="preserve"> HYPERLINK "https://baike.baidu.com/item/%E5%90%8C%E4%BD%8D%E7%B4%A0" \t "_blank" </w:instrText>
      </w:r>
      <w:r>
        <w:rPr>
          <w:rFonts w:hint="eastAsia" w:ascii="Times New Roman" w:hAnsi="Times New Roman" w:eastAsia="仿宋" w:cs="Times New Roman"/>
          <w:color w:val="000000"/>
          <w:sz w:val="24"/>
          <w:lang w:bidi="en-US"/>
        </w:rPr>
        <w:fldChar w:fldCharType="separate"/>
      </w:r>
      <w:r>
        <w:rPr>
          <w:rFonts w:hint="eastAsia" w:ascii="Times New Roman" w:hAnsi="Times New Roman" w:eastAsia="仿宋" w:cs="Times New Roman"/>
          <w:color w:val="000000"/>
          <w:sz w:val="24"/>
          <w:lang w:bidi="en-US"/>
        </w:rPr>
        <w:t>同位素</w:t>
      </w:r>
      <w:r>
        <w:rPr>
          <w:rFonts w:hint="eastAsia" w:ascii="Times New Roman" w:hAnsi="Times New Roman" w:eastAsia="仿宋" w:cs="Times New Roman"/>
          <w:color w:val="000000"/>
          <w:sz w:val="24"/>
          <w:lang w:bidi="en-US"/>
        </w:rPr>
        <w:fldChar w:fldCharType="end"/>
      </w:r>
      <w:r>
        <w:rPr>
          <w:rFonts w:hint="eastAsia" w:ascii="Times New Roman" w:hAnsi="Times New Roman" w:eastAsia="仿宋" w:cs="Times New Roman"/>
          <w:color w:val="000000"/>
          <w:sz w:val="24"/>
          <w:lang w:bidi="en-US"/>
        </w:rPr>
        <w:t>比值。其具有检出限低（达ng/ml）、基体效应小、谱线简单、能同时测定多种元素、动态线性范围宽、工作效率高等优点，已在环境、地矿、食品、化工、建材等领域获得广泛应用。HJ 700-2014《水质 65种元素的测定 电感耦合等离子体质谱法》、GB/T 14506.30-2010《硅酸盐岩石化学分析方法 第30部分：44个元素量测定》、HJ 766-2015《固体废物 金属元素的测定 电感耦合等离子体质谱法》等均采用电感耦合等离子体质谱法</w:t>
      </w:r>
      <w:r>
        <w:rPr>
          <w:rFonts w:hint="eastAsia" w:ascii="Times New Roman" w:hAnsi="Times New Roman" w:eastAsia="仿宋" w:cs="Times New Roman"/>
          <w:color w:val="000000"/>
          <w:sz w:val="24"/>
          <w:lang w:eastAsia="zh-CN" w:bidi="en-US"/>
        </w:rPr>
        <w:t>作为</w:t>
      </w:r>
      <w:r>
        <w:rPr>
          <w:rFonts w:hint="eastAsia" w:ascii="Times New Roman" w:hAnsi="Times New Roman" w:eastAsia="仿宋" w:cs="Times New Roman"/>
          <w:color w:val="000000"/>
          <w:sz w:val="24"/>
          <w:lang w:bidi="en-US"/>
        </w:rPr>
        <w:t>检测手段。</w:t>
      </w:r>
    </w:p>
    <w:p w14:paraId="6FE4ECDF">
      <w:pPr>
        <w:pStyle w:val="2"/>
        <w:bidi w:val="0"/>
      </w:pPr>
      <w:r>
        <w:rPr>
          <w:rFonts w:hint="eastAsia" w:ascii="Times New Roman" w:hAnsi="Times New Roman" w:cs="Times New Roman"/>
          <w:b/>
          <w:bCs w:val="0"/>
          <w:kern w:val="2"/>
          <w:sz w:val="24"/>
          <w:szCs w:val="32"/>
          <w:lang w:val="en-US" w:eastAsia="zh-CN" w:bidi="ar-SA"/>
        </w:rPr>
        <w:t>2.</w:t>
      </w:r>
      <w:r>
        <w:rPr>
          <w:rFonts w:hint="eastAsia" w:ascii="Times New Roman" w:hAnsi="Times New Roman" w:eastAsia="宋体" w:cs="Times New Roman"/>
          <w:b/>
          <w:bCs w:val="0"/>
          <w:kern w:val="2"/>
          <w:sz w:val="24"/>
          <w:szCs w:val="32"/>
          <w:lang w:val="en-US" w:eastAsia="zh-CN" w:bidi="ar-SA"/>
        </w:rPr>
        <w:t>2.2铀、钍测量技术现状和趋势</w:t>
      </w:r>
    </w:p>
    <w:p w14:paraId="7AB6FF30">
      <w:pPr>
        <w:spacing w:line="360" w:lineRule="auto"/>
        <w:ind w:firstLine="480" w:firstLineChars="200"/>
        <w:rPr>
          <w:rFonts w:hint="eastAsia" w:ascii="Times New Roman" w:hAnsi="Times New Roman" w:eastAsia="仿宋" w:cs="Times New Roman"/>
          <w:color w:val="000000"/>
          <w:sz w:val="24"/>
          <w:lang w:bidi="en-US"/>
        </w:rPr>
      </w:pPr>
      <w:r>
        <w:rPr>
          <w:rFonts w:hint="eastAsia" w:ascii="仿宋" w:hAnsi="仿宋" w:eastAsia="仿宋" w:cs="宋体"/>
          <w:sz w:val="24"/>
          <w:szCs w:val="24"/>
        </w:rPr>
        <w:t xml:space="preserve">  </w:t>
      </w:r>
      <w:r>
        <w:rPr>
          <w:rFonts w:hint="eastAsia" w:ascii="Times New Roman" w:hAnsi="Times New Roman" w:eastAsia="仿宋" w:cs="Times New Roman"/>
          <w:color w:val="000000"/>
          <w:sz w:val="24"/>
          <w:lang w:bidi="en-US"/>
        </w:rPr>
        <w:t>铀的测定有重铀酸铵重量法、钒酸铵/重铬酸钾容量法、偶氮胂Ш/偶氮氯磷Ш/Br-PADAP/PAR/PAN等分光光度法、铜铁试剂底液极谱法、激光荧光法等。重量法和容量法适用于铀产品等高含量试样的测定，分光光度法、极谱法、激光荧光法适用低含量铀试样的测定。其中分光光度法、极谱法均需对试样进行冗长的分离富集后才能测量，且随着部分分离树脂、交换柱、显色剂的限产（甚至停产）以及方法灵敏度的限制，分光光度法不再是低含量铀测定的首选方法。极谱法除有分光光度法相同的冗长分离富集过程外，还由于滴汞电极汞的毒性原因，方法应用十分有限。激光荧光法具有用样量少，灵敏度高的特点，但对低含量试样测量的稳定性有待提高。20世纪90年代后，随着分析测试技术的不断进步，仪器性能的稳步提升，电感耦合等离子体质谱基体干扰小、线性范围宽、灵敏度高、谱线简单、能同时测定多种参数、工作效率高等等优越性凸显，使电感耦合等离子体质谱法在分析检测领域得到十分广泛的应用，无需冗长的分离富集即实现岩（矿）石、土壤、水、环境空气和废气颗粒物等中铀、钍的测定。</w:t>
      </w:r>
    </w:p>
    <w:p w14:paraId="1A52475B">
      <w:pPr>
        <w:spacing w:line="360" w:lineRule="auto"/>
        <w:ind w:firstLine="480" w:firstLineChars="200"/>
        <w:rPr>
          <w:rFonts w:hint="eastAsia" w:ascii="Times New Roman" w:hAnsi="Times New Roman" w:eastAsia="仿宋" w:cs="Times New Roman"/>
          <w:color w:val="000000"/>
          <w:sz w:val="24"/>
          <w:lang w:bidi="en-US"/>
        </w:rPr>
      </w:pPr>
      <w:r>
        <w:rPr>
          <w:rFonts w:hint="eastAsia" w:ascii="Times New Roman" w:hAnsi="Times New Roman" w:eastAsia="仿宋" w:cs="Times New Roman"/>
          <w:color w:val="000000"/>
          <w:sz w:val="24"/>
          <w:lang w:bidi="en-US"/>
        </w:rPr>
        <w:t>钍的测量同样有重量法、容量法、分光光度法、极谱法等。同理，重量法和容量法适用于高含量试样钍的测定，分光光度法和极谱法具有与铀测定方法相似的局限性，由于电感耦合等离子体质谱仪强大的优越性，采用电感耦合等离子体质谱法测量钍也在各行业得到了十分广泛的应用。</w:t>
      </w:r>
    </w:p>
    <w:p w14:paraId="3BB20471">
      <w:pPr>
        <w:spacing w:line="360" w:lineRule="auto"/>
        <w:ind w:firstLine="480" w:firstLineChars="200"/>
        <w:rPr>
          <w:rFonts w:hint="eastAsia" w:ascii="Times New Roman" w:hAnsi="Times New Roman" w:eastAsia="仿宋" w:cs="Times New Roman"/>
          <w:color w:val="000000"/>
          <w:sz w:val="24"/>
          <w:lang w:bidi="en-US"/>
        </w:rPr>
      </w:pPr>
      <w:r>
        <w:rPr>
          <w:rFonts w:hint="eastAsia" w:ascii="Times New Roman" w:hAnsi="Times New Roman" w:eastAsia="仿宋" w:cs="Times New Roman"/>
          <w:color w:val="000000"/>
          <w:sz w:val="24"/>
          <w:lang w:bidi="en-US"/>
        </w:rPr>
        <w:t>因此，建立《固体废物 铀、钍的测定 电感耦合等离子体质谱法》完全可行。</w:t>
      </w:r>
    </w:p>
    <w:p w14:paraId="1C8D3926">
      <w:pPr>
        <w:pStyle w:val="2"/>
        <w:bidi w:val="0"/>
        <w:rPr>
          <w:rFonts w:ascii="Times New Roman" w:hAnsi="Times New Roman" w:cs="Times New Roman"/>
        </w:rPr>
      </w:pPr>
      <w:r>
        <w:rPr>
          <w:rFonts w:hint="eastAsia" w:ascii="宋体" w:hAnsi="宋体" w:eastAsia="宋体" w:cs="宋体"/>
          <w:sz w:val="30"/>
          <w:szCs w:val="30"/>
          <w:lang w:val="en-US" w:eastAsia="zh-CN"/>
        </w:rPr>
        <w:t>3</w:t>
      </w:r>
      <w:r>
        <w:rPr>
          <w:rFonts w:hint="eastAsia" w:ascii="宋体" w:hAnsi="宋体" w:cs="宋体"/>
          <w:sz w:val="30"/>
          <w:szCs w:val="30"/>
          <w:lang w:val="en-US" w:eastAsia="zh-CN"/>
        </w:rPr>
        <w:t>国内相关标准情况及本</w:t>
      </w:r>
      <w:r>
        <w:rPr>
          <w:rFonts w:ascii="Times New Roman" w:hAnsi="Times New Roman" w:cs="Times New Roman"/>
        </w:rPr>
        <w:t>标准编制过程</w:t>
      </w:r>
    </w:p>
    <w:p w14:paraId="55A4C3C8">
      <w:pPr>
        <w:pStyle w:val="2"/>
        <w:bidi w:val="0"/>
        <w:rPr>
          <w:rFonts w:hint="eastAsia" w:ascii="宋体" w:hAnsi="宋体" w:cs="宋体"/>
          <w:sz w:val="30"/>
          <w:szCs w:val="30"/>
          <w:lang w:val="en-US" w:eastAsia="zh-CN"/>
        </w:rPr>
      </w:pPr>
      <w:r>
        <w:rPr>
          <w:rFonts w:hint="eastAsia" w:ascii="Times New Roman" w:hAnsi="Times New Roman" w:cs="Times New Roman"/>
          <w:lang w:val="en-US" w:eastAsia="zh-CN"/>
        </w:rPr>
        <w:t>3.1</w:t>
      </w:r>
      <w:r>
        <w:rPr>
          <w:rFonts w:hint="eastAsia" w:ascii="宋体" w:hAnsi="宋体" w:cs="宋体"/>
          <w:sz w:val="30"/>
          <w:szCs w:val="30"/>
          <w:lang w:val="en-US" w:eastAsia="zh-CN"/>
        </w:rPr>
        <w:t>国内相关固体废物检测标准、规范情况</w:t>
      </w:r>
    </w:p>
    <w:p w14:paraId="156BE41A">
      <w:pPr>
        <w:spacing w:line="360" w:lineRule="auto"/>
        <w:ind w:firstLine="480" w:firstLineChars="200"/>
        <w:rPr>
          <w:rFonts w:hint="eastAsia" w:ascii="Times New Roman" w:hAnsi="Times New Roman" w:eastAsia="仿宋" w:cs="Times New Roman"/>
          <w:color w:val="000000"/>
          <w:sz w:val="24"/>
          <w:lang w:bidi="en-US"/>
        </w:rPr>
      </w:pPr>
      <w:r>
        <w:rPr>
          <w:rFonts w:hint="eastAsia" w:ascii="Times New Roman" w:hAnsi="Times New Roman" w:eastAsia="仿宋" w:cs="Times New Roman"/>
          <w:color w:val="000000"/>
          <w:sz w:val="24"/>
          <w:lang w:bidi="en-US"/>
        </w:rPr>
        <w:t>我国现行有效与固体废物中铀、钍检测相关的标准规范有：</w:t>
      </w:r>
    </w:p>
    <w:p w14:paraId="3EBD26BA">
      <w:pPr>
        <w:numPr>
          <w:ilvl w:val="0"/>
          <w:numId w:val="3"/>
        </w:numPr>
        <w:spacing w:line="360" w:lineRule="auto"/>
        <w:ind w:firstLine="240" w:firstLineChars="100"/>
        <w:rPr>
          <w:rFonts w:hint="eastAsia" w:ascii="Times New Roman" w:hAnsi="Times New Roman" w:eastAsia="仿宋" w:cs="Times New Roman"/>
          <w:color w:val="000000"/>
          <w:sz w:val="24"/>
          <w:lang w:bidi="en-US"/>
        </w:rPr>
      </w:pPr>
      <w:r>
        <w:rPr>
          <w:rFonts w:hint="eastAsia" w:ascii="仿宋" w:hAnsi="仿宋" w:eastAsia="仿宋" w:cs="宋体"/>
          <w:sz w:val="24"/>
          <w:szCs w:val="24"/>
        </w:rPr>
        <w:t>《</w:t>
      </w:r>
      <w:r>
        <w:rPr>
          <w:rFonts w:hint="eastAsia" w:ascii="Times New Roman" w:hAnsi="Times New Roman" w:eastAsia="仿宋" w:cs="Times New Roman"/>
          <w:color w:val="000000"/>
          <w:sz w:val="24"/>
          <w:lang w:bidi="en-US"/>
        </w:rPr>
        <w:t>固体废物鉴别标准 通则》</w:t>
      </w:r>
    </w:p>
    <w:p w14:paraId="18B68F1D">
      <w:pPr>
        <w:numPr>
          <w:ilvl w:val="0"/>
          <w:numId w:val="3"/>
        </w:numPr>
        <w:spacing w:line="360" w:lineRule="auto"/>
        <w:ind w:firstLine="240" w:firstLineChars="100"/>
        <w:rPr>
          <w:rFonts w:hint="eastAsia" w:ascii="Times New Roman" w:hAnsi="Times New Roman" w:eastAsia="仿宋" w:cs="Times New Roman"/>
          <w:color w:val="000000"/>
          <w:sz w:val="24"/>
          <w:lang w:bidi="en-US"/>
        </w:rPr>
      </w:pPr>
      <w:r>
        <w:rPr>
          <w:rFonts w:hint="eastAsia" w:ascii="Times New Roman" w:hAnsi="Times New Roman" w:eastAsia="仿宋" w:cs="Times New Roman"/>
          <w:color w:val="000000"/>
          <w:sz w:val="24"/>
          <w:lang w:bidi="en-US"/>
        </w:rPr>
        <w:t>《工业固体废物采样制样技术规范》</w:t>
      </w:r>
    </w:p>
    <w:p w14:paraId="1D166CDB">
      <w:pPr>
        <w:numPr>
          <w:ilvl w:val="0"/>
          <w:numId w:val="3"/>
        </w:numPr>
        <w:spacing w:line="360" w:lineRule="auto"/>
        <w:ind w:firstLine="240" w:firstLineChars="100"/>
        <w:rPr>
          <w:rFonts w:hint="eastAsia" w:ascii="Times New Roman" w:hAnsi="Times New Roman" w:eastAsia="仿宋" w:cs="Times New Roman"/>
          <w:color w:val="000000"/>
          <w:sz w:val="24"/>
          <w:lang w:bidi="en-US"/>
        </w:rPr>
      </w:pPr>
      <w:r>
        <w:rPr>
          <w:rFonts w:hint="eastAsia" w:ascii="Times New Roman" w:hAnsi="Times New Roman" w:eastAsia="仿宋" w:cs="Times New Roman"/>
          <w:color w:val="000000"/>
          <w:sz w:val="24"/>
          <w:lang w:bidi="en-US"/>
        </w:rPr>
        <w:t>《一般工业固体废物贮存和填埋污染控制标准》</w:t>
      </w:r>
    </w:p>
    <w:p w14:paraId="3BA5F527">
      <w:pPr>
        <w:numPr>
          <w:ilvl w:val="0"/>
          <w:numId w:val="3"/>
        </w:numPr>
        <w:spacing w:line="360" w:lineRule="auto"/>
        <w:ind w:firstLine="240" w:firstLineChars="100"/>
        <w:rPr>
          <w:rFonts w:ascii="仿宋" w:hAnsi="仿宋" w:eastAsia="仿宋" w:cs="宋体"/>
          <w:sz w:val="24"/>
          <w:szCs w:val="24"/>
        </w:rPr>
      </w:pPr>
      <w:r>
        <w:rPr>
          <w:rFonts w:hint="eastAsia" w:ascii="Times New Roman" w:hAnsi="Times New Roman" w:eastAsia="仿宋" w:cs="Times New Roman"/>
          <w:color w:val="000000"/>
          <w:sz w:val="24"/>
          <w:lang w:bidi="en-US"/>
        </w:rPr>
        <w:t>《危险废物鉴别技术规范》</w:t>
      </w:r>
    </w:p>
    <w:p w14:paraId="39485633">
      <w:pPr>
        <w:numPr>
          <w:ilvl w:val="0"/>
          <w:numId w:val="3"/>
        </w:numPr>
        <w:spacing w:line="360" w:lineRule="auto"/>
        <w:ind w:firstLine="240" w:firstLineChars="100"/>
        <w:rPr>
          <w:rFonts w:hint="eastAsia" w:ascii="Times New Roman" w:hAnsi="Times New Roman" w:eastAsia="仿宋" w:cs="Times New Roman"/>
          <w:color w:val="000000"/>
          <w:sz w:val="24"/>
          <w:lang w:bidi="en-US"/>
        </w:rPr>
      </w:pPr>
      <w:r>
        <w:rPr>
          <w:rFonts w:hint="eastAsia" w:ascii="Times New Roman" w:hAnsi="Times New Roman" w:eastAsia="仿宋" w:cs="Times New Roman"/>
          <w:color w:val="000000"/>
          <w:sz w:val="24"/>
          <w:lang w:bidi="en-US"/>
        </w:rPr>
        <w:t>《固体废物 浸出毒性浸出方法 硫酸硝酸法》</w:t>
      </w:r>
    </w:p>
    <w:p w14:paraId="58E2E8B1">
      <w:pPr>
        <w:numPr>
          <w:ilvl w:val="0"/>
          <w:numId w:val="3"/>
        </w:numPr>
        <w:spacing w:line="360" w:lineRule="auto"/>
        <w:ind w:firstLine="240" w:firstLineChars="100"/>
        <w:rPr>
          <w:rFonts w:hint="eastAsia" w:ascii="Times New Roman" w:hAnsi="Times New Roman" w:eastAsia="仿宋" w:cs="Times New Roman"/>
          <w:color w:val="000000"/>
          <w:sz w:val="24"/>
          <w:lang w:bidi="en-US"/>
        </w:rPr>
      </w:pPr>
      <w:r>
        <w:rPr>
          <w:rFonts w:hint="eastAsia" w:ascii="Times New Roman" w:hAnsi="Times New Roman" w:eastAsia="仿宋" w:cs="Times New Roman"/>
          <w:color w:val="000000"/>
          <w:sz w:val="24"/>
          <w:lang w:bidi="en-US"/>
        </w:rPr>
        <w:t>《固体废物 浸出毒性浸出方法 醋酸缓冲溶液法》</w:t>
      </w:r>
    </w:p>
    <w:p w14:paraId="5E42C03E">
      <w:pPr>
        <w:numPr>
          <w:ilvl w:val="0"/>
          <w:numId w:val="3"/>
        </w:numPr>
        <w:spacing w:line="360" w:lineRule="auto"/>
        <w:ind w:firstLine="240" w:firstLineChars="100"/>
        <w:rPr>
          <w:rFonts w:hint="eastAsia" w:ascii="Times New Roman" w:hAnsi="Times New Roman" w:eastAsia="仿宋" w:cs="Times New Roman"/>
          <w:color w:val="000000"/>
          <w:sz w:val="24"/>
          <w:lang w:bidi="en-US"/>
        </w:rPr>
      </w:pPr>
      <w:r>
        <w:rPr>
          <w:rFonts w:hint="eastAsia" w:ascii="Times New Roman" w:hAnsi="Times New Roman" w:eastAsia="仿宋" w:cs="Times New Roman"/>
          <w:color w:val="000000"/>
          <w:sz w:val="24"/>
          <w:lang w:bidi="en-US"/>
        </w:rPr>
        <w:t>《固体废物 浸出毒性浸出方法 水平振荡法》</w:t>
      </w:r>
    </w:p>
    <w:p w14:paraId="5CFE8136">
      <w:pPr>
        <w:numPr>
          <w:ilvl w:val="0"/>
          <w:numId w:val="3"/>
        </w:numPr>
        <w:spacing w:line="360" w:lineRule="auto"/>
        <w:ind w:firstLine="240" w:firstLineChars="100"/>
        <w:rPr>
          <w:rFonts w:ascii="仿宋" w:hAnsi="仿宋" w:eastAsia="仿宋" w:cs="宋体"/>
          <w:sz w:val="24"/>
          <w:szCs w:val="24"/>
        </w:rPr>
      </w:pPr>
      <w:r>
        <w:rPr>
          <w:rFonts w:hint="eastAsia" w:ascii="仿宋" w:hAnsi="仿宋" w:eastAsia="仿宋" w:cs="宋体"/>
          <w:sz w:val="24"/>
          <w:szCs w:val="24"/>
        </w:rPr>
        <w:t>《危险废物鉴别标准 浸出毒性鉴别》</w:t>
      </w:r>
    </w:p>
    <w:p w14:paraId="49A0D90A">
      <w:pPr>
        <w:numPr>
          <w:ilvl w:val="0"/>
          <w:numId w:val="3"/>
        </w:numPr>
        <w:spacing w:line="360" w:lineRule="auto"/>
        <w:ind w:firstLine="240" w:firstLineChars="100"/>
        <w:rPr>
          <w:rFonts w:ascii="仿宋" w:hAnsi="仿宋" w:eastAsia="仿宋" w:cs="宋体"/>
          <w:sz w:val="24"/>
          <w:szCs w:val="24"/>
        </w:rPr>
      </w:pPr>
      <w:r>
        <w:rPr>
          <w:rFonts w:hint="eastAsia" w:ascii="Times New Roman" w:hAnsi="Times New Roman" w:eastAsia="仿宋" w:cs="Times New Roman"/>
          <w:color w:val="000000"/>
          <w:sz w:val="24"/>
          <w:lang w:bidi="en-US"/>
        </w:rPr>
        <w:t>《固体废物 金属元素的测定 电感耦合等离子体质谱法》</w:t>
      </w:r>
    </w:p>
    <w:p w14:paraId="760BD386">
      <w:pPr>
        <w:numPr>
          <w:ilvl w:val="0"/>
          <w:numId w:val="3"/>
        </w:numPr>
        <w:spacing w:line="360" w:lineRule="auto"/>
        <w:ind w:firstLine="240" w:firstLineChars="100"/>
        <w:rPr>
          <w:rFonts w:hint="eastAsia" w:ascii="Times New Roman" w:hAnsi="Times New Roman" w:eastAsia="仿宋" w:cs="Times New Roman"/>
          <w:color w:val="000000"/>
          <w:sz w:val="24"/>
          <w:lang w:bidi="en-US"/>
        </w:rPr>
      </w:pPr>
      <w:r>
        <w:rPr>
          <w:rFonts w:hint="eastAsia" w:ascii="Times New Roman" w:hAnsi="Times New Roman" w:eastAsia="仿宋" w:cs="Times New Roman"/>
          <w:color w:val="000000"/>
          <w:sz w:val="24"/>
          <w:lang w:bidi="en-US"/>
        </w:rPr>
        <w:t>《固体废物 22</w:t>
      </w:r>
      <w:r>
        <w:rPr>
          <w:rFonts w:hint="eastAsia" w:ascii="Times New Roman" w:hAnsi="Times New Roman" w:eastAsia="仿宋" w:cs="Times New Roman"/>
          <w:color w:val="000000"/>
          <w:sz w:val="24"/>
          <w:lang w:eastAsia="zh-CN" w:bidi="en-US"/>
        </w:rPr>
        <w:t>种</w:t>
      </w:r>
      <w:r>
        <w:rPr>
          <w:rFonts w:hint="eastAsia" w:ascii="Times New Roman" w:hAnsi="Times New Roman" w:eastAsia="仿宋" w:cs="Times New Roman"/>
          <w:color w:val="000000"/>
          <w:sz w:val="24"/>
          <w:lang w:bidi="en-US"/>
        </w:rPr>
        <w:t>金属元素的测定 电感耦合等离子体发射光谱法》等</w:t>
      </w:r>
    </w:p>
    <w:p w14:paraId="2BBE671B">
      <w:pPr>
        <w:rPr>
          <w:rFonts w:hint="eastAsia"/>
        </w:rPr>
      </w:pPr>
      <w:r>
        <w:rPr>
          <w:rFonts w:hint="eastAsia" w:ascii="Times New Roman" w:hAnsi="Times New Roman" w:eastAsia="仿宋" w:cs="Times New Roman"/>
          <w:color w:val="000000"/>
          <w:sz w:val="24"/>
          <w:lang w:bidi="en-US"/>
        </w:rPr>
        <w:t>这些技术标准的实施为固体废物的鉴别提供了规范性依据，为多种金属污染物的测定提供了标准方法，但均不包括固废中铀、钍的测定，导致固体废物中铀、钍的测定无技术标准。</w:t>
      </w:r>
    </w:p>
    <w:p w14:paraId="1744EB81">
      <w:pPr>
        <w:pStyle w:val="2"/>
        <w:rPr>
          <w:rFonts w:ascii="Times New Roman" w:hAnsi="Times New Roman" w:cs="Times New Roman"/>
        </w:rPr>
      </w:pPr>
      <w:r>
        <w:rPr>
          <w:rFonts w:hint="eastAsia" w:ascii="宋体" w:hAnsi="宋体" w:eastAsia="宋体" w:cs="宋体"/>
          <w:sz w:val="30"/>
          <w:szCs w:val="30"/>
          <w:lang w:val="en-US" w:eastAsia="zh-CN"/>
        </w:rPr>
        <w:t>3</w:t>
      </w:r>
      <w:r>
        <w:rPr>
          <w:rFonts w:hint="eastAsia" w:ascii="宋体" w:hAnsi="宋体" w:cs="宋体"/>
          <w:sz w:val="30"/>
          <w:szCs w:val="30"/>
          <w:lang w:val="en-US" w:eastAsia="zh-CN"/>
        </w:rPr>
        <w:t>.2本</w:t>
      </w:r>
      <w:r>
        <w:rPr>
          <w:rFonts w:ascii="Times New Roman" w:hAnsi="Times New Roman" w:cs="Times New Roman"/>
        </w:rPr>
        <w:t>标准编制过程</w:t>
      </w:r>
    </w:p>
    <w:p w14:paraId="11296B23">
      <w:pPr>
        <w:pStyle w:val="2"/>
        <w:numPr>
          <w:ilvl w:val="0"/>
          <w:numId w:val="0"/>
        </w:numPr>
        <w:bidi w:val="0"/>
        <w:rPr>
          <w:rFonts w:hint="eastAsia" w:ascii="Times New Roman" w:hAnsi="Times New Roman" w:eastAsia="宋体" w:cs="Times New Roman"/>
          <w:b/>
          <w:bCs w:val="0"/>
          <w:kern w:val="2"/>
          <w:sz w:val="28"/>
          <w:szCs w:val="28"/>
          <w:lang w:val="en-US" w:eastAsia="zh-CN" w:bidi="ar-SA"/>
        </w:rPr>
      </w:pPr>
      <w:r>
        <w:rPr>
          <w:rFonts w:hint="eastAsia" w:ascii="Times New Roman" w:hAnsi="Times New Roman" w:cs="Times New Roman"/>
          <w:b/>
          <w:bCs w:val="0"/>
          <w:kern w:val="2"/>
          <w:sz w:val="28"/>
          <w:szCs w:val="28"/>
          <w:lang w:val="en-US" w:eastAsia="zh-CN" w:bidi="ar-SA"/>
        </w:rPr>
        <w:t>3.2.1</w:t>
      </w:r>
      <w:r>
        <w:rPr>
          <w:rFonts w:hint="eastAsia" w:ascii="Times New Roman" w:hAnsi="Times New Roman" w:eastAsia="宋体" w:cs="Times New Roman"/>
          <w:b/>
          <w:bCs w:val="0"/>
          <w:kern w:val="2"/>
          <w:sz w:val="28"/>
          <w:szCs w:val="28"/>
          <w:lang w:val="en-US" w:eastAsia="zh-CN" w:bidi="ar-SA"/>
        </w:rPr>
        <w:t>成立标准编写小组</w:t>
      </w:r>
    </w:p>
    <w:p w14:paraId="53AC4A4D">
      <w:pPr>
        <w:ind w:firstLine="480"/>
        <w:rPr>
          <w:rFonts w:ascii="Times New Roman" w:hAnsi="Times New Roman" w:eastAsia="仿宋_GB2312" w:cs="Times New Roman"/>
        </w:rPr>
      </w:pPr>
      <w:r>
        <w:rPr>
          <w:rFonts w:hint="eastAsia" w:ascii="Times New Roman" w:hAnsi="Times New Roman" w:eastAsia="仿宋" w:cs="Times New Roman"/>
          <w:color w:val="000000"/>
          <w:sz w:val="24"/>
          <w:lang w:bidi="en-US"/>
        </w:rPr>
        <w:t>202</w:t>
      </w:r>
      <w:r>
        <w:rPr>
          <w:rFonts w:hint="eastAsia" w:ascii="Times New Roman" w:hAnsi="Times New Roman" w:eastAsia="仿宋" w:cs="Times New Roman"/>
          <w:color w:val="000000"/>
          <w:sz w:val="24"/>
          <w:lang w:val="en-US" w:eastAsia="zh-CN" w:bidi="en-US"/>
        </w:rPr>
        <w:t>4</w:t>
      </w:r>
      <w:r>
        <w:rPr>
          <w:rFonts w:hint="eastAsia" w:ascii="Times New Roman" w:hAnsi="Times New Roman" w:eastAsia="仿宋" w:cs="Times New Roman"/>
          <w:color w:val="000000"/>
          <w:sz w:val="24"/>
          <w:lang w:bidi="en-US"/>
        </w:rPr>
        <w:t>年</w:t>
      </w:r>
      <w:r>
        <w:rPr>
          <w:rFonts w:hint="eastAsia" w:ascii="Times New Roman" w:hAnsi="Times New Roman" w:eastAsia="仿宋" w:cs="Times New Roman"/>
          <w:color w:val="000000"/>
          <w:sz w:val="24"/>
          <w:lang w:val="en-US" w:eastAsia="zh-CN" w:bidi="en-US"/>
        </w:rPr>
        <w:t>1</w:t>
      </w:r>
      <w:r>
        <w:rPr>
          <w:rFonts w:hint="eastAsia" w:ascii="Times New Roman" w:hAnsi="Times New Roman" w:eastAsia="仿宋" w:cs="Times New Roman"/>
          <w:color w:val="000000"/>
          <w:sz w:val="24"/>
          <w:lang w:bidi="en-US"/>
        </w:rPr>
        <w:t>月，</w:t>
      </w:r>
      <w:r>
        <w:rPr>
          <w:rFonts w:hint="eastAsia" w:ascii="Times New Roman" w:hAnsi="Times New Roman" w:eastAsia="仿宋" w:cs="Times New Roman"/>
          <w:color w:val="000000"/>
          <w:sz w:val="24"/>
          <w:lang w:eastAsia="zh-CN" w:bidi="en-US"/>
        </w:rPr>
        <w:t>确定</w:t>
      </w:r>
      <w:r>
        <w:rPr>
          <w:rFonts w:hint="eastAsia" w:ascii="Times New Roman" w:hAnsi="Times New Roman" w:eastAsia="仿宋" w:cs="Times New Roman"/>
          <w:color w:val="000000"/>
          <w:sz w:val="24"/>
          <w:lang w:bidi="en-US"/>
        </w:rPr>
        <w:t xml:space="preserve">成立《固体废物 </w:t>
      </w:r>
      <w:r>
        <w:rPr>
          <w:rFonts w:hint="eastAsia" w:ascii="Times New Roman" w:hAnsi="Times New Roman" w:eastAsia="仿宋" w:cs="Times New Roman"/>
          <w:color w:val="000000"/>
          <w:sz w:val="24"/>
          <w:lang w:eastAsia="zh-CN" w:bidi="en-US"/>
        </w:rPr>
        <w:t>铀</w:t>
      </w:r>
      <w:r>
        <w:rPr>
          <w:rFonts w:hint="eastAsia" w:ascii="Times New Roman" w:hAnsi="Times New Roman" w:eastAsia="仿宋" w:cs="Times New Roman"/>
          <w:color w:val="000000"/>
          <w:sz w:val="24"/>
          <w:lang w:val="en-US" w:eastAsia="zh-CN" w:bidi="en-US"/>
        </w:rPr>
        <w:t xml:space="preserve"> 钍</w:t>
      </w:r>
      <w:r>
        <w:rPr>
          <w:rFonts w:hint="eastAsia" w:ascii="Times New Roman" w:hAnsi="Times New Roman" w:eastAsia="仿宋" w:cs="Times New Roman"/>
          <w:color w:val="000000"/>
          <w:sz w:val="24"/>
          <w:lang w:bidi="en-US"/>
        </w:rPr>
        <w:t>的测定 电感耦合等离子体质谱法》标准编写小组，</w:t>
      </w:r>
      <w:r>
        <w:rPr>
          <w:rFonts w:hint="eastAsia" w:ascii="Times New Roman" w:hAnsi="Times New Roman" w:eastAsia="仿宋" w:cs="Times New Roman"/>
          <w:color w:val="000000"/>
          <w:sz w:val="24"/>
          <w:lang w:eastAsia="zh-CN" w:bidi="en-US"/>
        </w:rPr>
        <w:t>拟定</w:t>
      </w:r>
      <w:r>
        <w:rPr>
          <w:rFonts w:hint="eastAsia" w:ascii="Times New Roman" w:hAnsi="Times New Roman" w:eastAsia="仿宋" w:cs="Times New Roman"/>
          <w:color w:val="000000"/>
          <w:sz w:val="24"/>
          <w:lang w:bidi="en-US"/>
        </w:rPr>
        <w:t>由</w:t>
      </w:r>
      <w:r>
        <w:rPr>
          <w:rFonts w:hint="eastAsia" w:ascii="Times New Roman" w:hAnsi="Times New Roman" w:eastAsia="仿宋" w:cs="Times New Roman"/>
          <w:color w:val="000000"/>
          <w:sz w:val="24"/>
          <w:lang w:eastAsia="zh-CN" w:bidi="en-US"/>
        </w:rPr>
        <w:t>齐玲</w:t>
      </w:r>
      <w:r>
        <w:rPr>
          <w:rFonts w:hint="eastAsia" w:ascii="Times New Roman" w:hAnsi="Times New Roman" w:eastAsia="仿宋" w:cs="Times New Roman"/>
          <w:color w:val="000000"/>
          <w:sz w:val="24"/>
          <w:lang w:val="en-US" w:eastAsia="zh-CN" w:bidi="en-US"/>
        </w:rPr>
        <w:t xml:space="preserve"> 李茜 张翰 </w:t>
      </w:r>
      <w:r>
        <w:rPr>
          <w:rFonts w:hint="eastAsia" w:ascii="仿宋" w:hAnsi="仿宋" w:eastAsia="仿宋" w:cs="仿宋"/>
          <w:b w:val="0"/>
          <w:bCs w:val="0"/>
          <w:sz w:val="24"/>
          <w:szCs w:val="24"/>
          <w:lang w:val="en-US" w:eastAsia="zh-CN"/>
        </w:rPr>
        <w:t xml:space="preserve">黄颖翀 </w:t>
      </w:r>
      <w:r>
        <w:rPr>
          <w:rFonts w:hint="eastAsia" w:ascii="Times New Roman" w:hAnsi="Times New Roman" w:eastAsia="仿宋" w:cs="Times New Roman"/>
          <w:color w:val="000000"/>
          <w:sz w:val="24"/>
          <w:lang w:val="en-US" w:eastAsia="zh-CN" w:bidi="en-US"/>
        </w:rPr>
        <w:t xml:space="preserve">金琴 程绍鹃 郭岚 柳英霞 李汉菲 彭元艺 巢磊 </w:t>
      </w:r>
      <w:r>
        <w:rPr>
          <w:rFonts w:hint="eastAsia" w:ascii="仿宋" w:hAnsi="仿宋" w:eastAsia="仿宋" w:cs="仿宋"/>
          <w:sz w:val="24"/>
          <w:szCs w:val="24"/>
        </w:rPr>
        <w:t>袁语霜</w:t>
      </w:r>
      <w:r>
        <w:rPr>
          <w:rFonts w:hint="eastAsia" w:ascii="Times New Roman" w:hAnsi="Times New Roman" w:eastAsia="仿宋" w:cs="Times New Roman"/>
          <w:color w:val="000000"/>
          <w:sz w:val="24"/>
          <w:highlight w:val="none"/>
          <w:lang w:val="en-US" w:eastAsia="zh-CN" w:bidi="en-US"/>
        </w:rPr>
        <w:t xml:space="preserve"> 欧阳泉根 </w:t>
      </w:r>
      <w:r>
        <w:rPr>
          <w:rFonts w:hint="eastAsia" w:ascii="Times New Roman" w:hAnsi="Times New Roman" w:eastAsia="仿宋" w:cs="Times New Roman"/>
          <w:color w:val="000000"/>
          <w:sz w:val="24"/>
          <w:lang w:val="en-US" w:eastAsia="zh-CN" w:bidi="en-US"/>
        </w:rPr>
        <w:t xml:space="preserve">李晓燕 黄龙 田晓照 潘伟超 </w:t>
      </w:r>
      <w:r>
        <w:rPr>
          <w:rFonts w:hint="eastAsia" w:ascii="仿宋" w:hAnsi="仿宋" w:eastAsia="仿宋" w:cs="仿宋"/>
          <w:b w:val="0"/>
          <w:bCs w:val="0"/>
          <w:sz w:val="24"/>
          <w:szCs w:val="24"/>
          <w:lang w:eastAsia="zh-CN"/>
        </w:rPr>
        <w:t>李海燕</w:t>
      </w:r>
      <w:r>
        <w:rPr>
          <w:rFonts w:hint="eastAsia" w:ascii="Times New Roman" w:hAnsi="Times New Roman" w:eastAsia="仿宋" w:cs="Times New Roman"/>
          <w:color w:val="000000"/>
          <w:sz w:val="24"/>
          <w:lang w:bidi="en-US"/>
        </w:rPr>
        <w:t>为组员，共同编制该标准。</w:t>
      </w:r>
    </w:p>
    <w:p w14:paraId="2DED90C6">
      <w:pPr>
        <w:pStyle w:val="2"/>
        <w:numPr>
          <w:ilvl w:val="0"/>
          <w:numId w:val="0"/>
        </w:numPr>
        <w:bidi w:val="0"/>
        <w:rPr>
          <w:rFonts w:hint="eastAsia" w:ascii="Times New Roman" w:hAnsi="Times New Roman" w:eastAsia="宋体" w:cs="Times New Roman"/>
          <w:b/>
          <w:bCs w:val="0"/>
          <w:kern w:val="2"/>
          <w:sz w:val="28"/>
          <w:szCs w:val="28"/>
          <w:lang w:val="en-US" w:eastAsia="zh-CN" w:bidi="ar-SA"/>
        </w:rPr>
      </w:pPr>
      <w:r>
        <w:rPr>
          <w:rFonts w:hint="eastAsia" w:ascii="Times New Roman" w:hAnsi="Times New Roman" w:cs="Times New Roman"/>
          <w:b/>
          <w:bCs w:val="0"/>
          <w:kern w:val="2"/>
          <w:sz w:val="28"/>
          <w:szCs w:val="28"/>
          <w:lang w:val="en-US" w:eastAsia="zh-CN" w:bidi="ar-SA"/>
        </w:rPr>
        <w:t>3.2.2</w:t>
      </w:r>
      <w:r>
        <w:rPr>
          <w:rFonts w:hint="eastAsia" w:ascii="Times New Roman" w:hAnsi="Times New Roman" w:eastAsia="宋体" w:cs="Times New Roman"/>
          <w:b/>
          <w:bCs w:val="0"/>
          <w:kern w:val="2"/>
          <w:sz w:val="28"/>
          <w:szCs w:val="28"/>
          <w:lang w:val="en-US" w:eastAsia="zh-CN" w:bidi="ar-SA"/>
        </w:rPr>
        <w:t>标准方法确定</w:t>
      </w:r>
    </w:p>
    <w:p w14:paraId="7077E7DD">
      <w:pPr>
        <w:ind w:firstLine="480"/>
        <w:rPr>
          <w:rFonts w:ascii="Times New Roman" w:hAnsi="Times New Roman" w:eastAsia="仿宋_GB2312" w:cs="Times New Roman"/>
        </w:rPr>
      </w:pPr>
      <w:r>
        <w:rPr>
          <w:rFonts w:hint="eastAsia" w:ascii="Times New Roman" w:hAnsi="Times New Roman" w:eastAsia="仿宋" w:cs="Times New Roman"/>
          <w:color w:val="000000"/>
          <w:sz w:val="24"/>
          <w:lang w:eastAsia="zh-CN" w:bidi="en-US"/>
        </w:rPr>
        <w:t>在</w:t>
      </w:r>
      <w:r>
        <w:rPr>
          <w:rFonts w:hint="eastAsia" w:ascii="Times New Roman" w:hAnsi="Times New Roman" w:eastAsia="仿宋" w:cs="Times New Roman"/>
          <w:color w:val="000000"/>
          <w:sz w:val="24"/>
          <w:lang w:bidi="en-US"/>
        </w:rPr>
        <w:t>查阅多种</w:t>
      </w:r>
      <w:r>
        <w:rPr>
          <w:rFonts w:hint="eastAsia" w:ascii="Times New Roman" w:hAnsi="Times New Roman" w:eastAsia="仿宋" w:cs="Times New Roman"/>
          <w:color w:val="000000"/>
          <w:sz w:val="24"/>
          <w:lang w:eastAsia="zh-CN" w:bidi="en-US"/>
        </w:rPr>
        <w:t>金属（含铀、钍）相关</w:t>
      </w:r>
      <w:r>
        <w:rPr>
          <w:rFonts w:hint="eastAsia" w:ascii="Times New Roman" w:hAnsi="Times New Roman" w:eastAsia="仿宋" w:cs="Times New Roman"/>
          <w:color w:val="000000"/>
          <w:sz w:val="24"/>
          <w:lang w:bidi="en-US"/>
        </w:rPr>
        <w:t>检测</w:t>
      </w:r>
      <w:r>
        <w:rPr>
          <w:rFonts w:hint="eastAsia" w:ascii="Times New Roman" w:hAnsi="Times New Roman" w:eastAsia="仿宋" w:cs="Times New Roman"/>
          <w:color w:val="000000"/>
          <w:sz w:val="24"/>
          <w:lang w:eastAsia="zh-CN" w:bidi="en-US"/>
        </w:rPr>
        <w:t>方法大量文献及标准、了解电感耦合等离子体质谱仪的优越性，以及其在检测领域的广泛成熟应用和强大能力后，编制组确定了采用</w:t>
      </w:r>
      <w:r>
        <w:rPr>
          <w:rFonts w:hint="eastAsia" w:ascii="Times New Roman" w:hAnsi="Times New Roman" w:eastAsia="仿宋" w:cs="Times New Roman"/>
          <w:color w:val="000000"/>
          <w:sz w:val="24"/>
          <w:lang w:bidi="en-US"/>
        </w:rPr>
        <w:t>电感耦合等离子体质谱法</w:t>
      </w:r>
      <w:r>
        <w:rPr>
          <w:rFonts w:hint="eastAsia" w:ascii="Times New Roman" w:hAnsi="Times New Roman" w:eastAsia="仿宋" w:cs="Times New Roman"/>
          <w:color w:val="000000"/>
          <w:sz w:val="24"/>
          <w:lang w:eastAsia="zh-CN" w:bidi="en-US"/>
        </w:rPr>
        <w:t>同时测定固体废物中铀、钍</w:t>
      </w:r>
      <w:r>
        <w:rPr>
          <w:rFonts w:hint="eastAsia" w:ascii="Times New Roman" w:hAnsi="Times New Roman" w:eastAsia="仿宋" w:cs="Times New Roman"/>
          <w:color w:val="000000"/>
          <w:sz w:val="24"/>
          <w:lang w:bidi="en-US"/>
        </w:rPr>
        <w:t>的</w:t>
      </w:r>
      <w:r>
        <w:rPr>
          <w:rFonts w:hint="eastAsia" w:ascii="Times New Roman" w:hAnsi="Times New Roman" w:eastAsia="仿宋" w:cs="Times New Roman"/>
          <w:color w:val="000000"/>
          <w:sz w:val="24"/>
          <w:lang w:eastAsia="zh-CN" w:bidi="en-US"/>
        </w:rPr>
        <w:t>检测</w:t>
      </w:r>
      <w:r>
        <w:rPr>
          <w:rFonts w:hint="eastAsia" w:ascii="Times New Roman" w:hAnsi="Times New Roman" w:eastAsia="仿宋" w:cs="Times New Roman"/>
          <w:color w:val="000000"/>
          <w:sz w:val="24"/>
          <w:lang w:bidi="en-US"/>
        </w:rPr>
        <w:t>方法。</w:t>
      </w:r>
    </w:p>
    <w:p w14:paraId="1434B3B2">
      <w:pPr>
        <w:pStyle w:val="2"/>
        <w:numPr>
          <w:ilvl w:val="0"/>
          <w:numId w:val="0"/>
        </w:numPr>
        <w:bidi w:val="0"/>
        <w:rPr>
          <w:rFonts w:hint="eastAsia" w:ascii="Times New Roman" w:hAnsi="Times New Roman" w:eastAsia="宋体" w:cs="Times New Roman"/>
          <w:b/>
          <w:bCs w:val="0"/>
          <w:kern w:val="2"/>
          <w:sz w:val="28"/>
          <w:szCs w:val="28"/>
          <w:lang w:val="en-US" w:eastAsia="zh-CN" w:bidi="ar-SA"/>
        </w:rPr>
      </w:pPr>
      <w:r>
        <w:rPr>
          <w:rFonts w:hint="eastAsia" w:ascii="Times New Roman" w:hAnsi="Times New Roman" w:cs="Times New Roman"/>
          <w:b/>
          <w:bCs w:val="0"/>
          <w:kern w:val="2"/>
          <w:sz w:val="28"/>
          <w:szCs w:val="28"/>
          <w:lang w:val="en-US" w:eastAsia="zh-CN" w:bidi="ar-SA"/>
        </w:rPr>
        <w:t>3.2.3</w:t>
      </w:r>
      <w:r>
        <w:rPr>
          <w:rFonts w:hint="eastAsia" w:ascii="Times New Roman" w:hAnsi="Times New Roman" w:eastAsia="宋体" w:cs="Times New Roman"/>
          <w:b/>
          <w:bCs w:val="0"/>
          <w:kern w:val="2"/>
          <w:sz w:val="28"/>
          <w:szCs w:val="28"/>
          <w:lang w:val="en-US" w:eastAsia="zh-CN" w:bidi="ar-SA"/>
        </w:rPr>
        <w:t xml:space="preserve">标准立项 </w:t>
      </w:r>
    </w:p>
    <w:p w14:paraId="63BA2002">
      <w:pPr>
        <w:ind w:firstLine="480"/>
        <w:rPr>
          <w:rFonts w:hint="eastAsia" w:ascii="Times New Roman" w:hAnsi="Times New Roman" w:eastAsia="仿宋" w:cs="Times New Roman"/>
          <w:color w:val="000000"/>
          <w:sz w:val="24"/>
          <w:lang w:eastAsia="zh-CN" w:bidi="en-US"/>
        </w:rPr>
      </w:pPr>
      <w:bookmarkStart w:id="1" w:name="_Hlk75423590"/>
      <w:r>
        <w:rPr>
          <w:rFonts w:hint="eastAsia" w:ascii="Times New Roman" w:hAnsi="Times New Roman" w:eastAsia="仿宋" w:cs="Times New Roman"/>
          <w:color w:val="000000"/>
          <w:sz w:val="24"/>
          <w:lang w:val="en-US" w:eastAsia="zh-CN" w:bidi="en-US"/>
        </w:rPr>
        <w:t>2023年9月</w:t>
      </w:r>
      <w:r>
        <w:rPr>
          <w:rFonts w:hint="eastAsia" w:ascii="Times New Roman" w:hAnsi="Times New Roman" w:eastAsia="仿宋" w:cs="Times New Roman"/>
          <w:color w:val="000000"/>
          <w:sz w:val="24"/>
          <w:lang w:eastAsia="zh-CN" w:bidi="en-US"/>
        </w:rPr>
        <w:t>江西省辐射环境监督站、核工业二七</w:t>
      </w:r>
      <w:r>
        <w:rPr>
          <w:rFonts w:hint="eastAsia" w:ascii="Times New Roman" w:hAnsi="Times New Roman" w:eastAsia="仿宋" w:cs="Times New Roman"/>
          <w:color w:val="000000"/>
          <w:sz w:val="24"/>
          <w:lang w:val="en-US" w:eastAsia="zh-CN" w:bidi="en-US"/>
        </w:rPr>
        <w:t>0研究所向江西省生态环境厅提交了《辐射监测标准/规范制修订申请表》和标准草案，2023年10月10日，江西省生态环境厅组织专家对本标准制定的必要性、可行性及草案进行评审，标准编制组根据生态环境厅专家组评审意见修改后，于2023年12月6日向江西省市场监督管理局提交标准草案和《江西省地方标准项目申报表》，2024年1月24日江西省标准技术评审中心组织召开立项评估会，标准编制组</w:t>
      </w:r>
      <w:r>
        <w:rPr>
          <w:rFonts w:hint="eastAsia" w:ascii="Times New Roman" w:hAnsi="Times New Roman" w:eastAsia="仿宋" w:cs="Times New Roman"/>
          <w:color w:val="000000"/>
          <w:sz w:val="24"/>
          <w:lang w:eastAsia="zh-CN" w:bidi="en-US"/>
        </w:rPr>
        <w:t>通过立项答辩。</w:t>
      </w:r>
      <w:r>
        <w:rPr>
          <w:rFonts w:hint="eastAsia" w:ascii="Times New Roman" w:hAnsi="Times New Roman" w:eastAsia="仿宋" w:cs="Times New Roman"/>
          <w:color w:val="000000"/>
          <w:sz w:val="24"/>
          <w:lang w:val="en-US" w:eastAsia="zh-CN" w:bidi="en-US"/>
        </w:rPr>
        <w:t>2024年3月19日江西省市场监督管理局下达地方标准制修订计划通知，</w:t>
      </w:r>
      <w:r>
        <w:rPr>
          <w:rFonts w:hint="eastAsia" w:ascii="Times New Roman" w:hAnsi="Times New Roman" w:eastAsia="仿宋" w:cs="Times New Roman"/>
          <w:color w:val="000000"/>
          <w:sz w:val="24"/>
          <w:lang w:eastAsia="zh-CN" w:bidi="en-US"/>
        </w:rPr>
        <w:t>获得立项，项目编号为</w:t>
      </w:r>
      <w:r>
        <w:rPr>
          <w:rFonts w:hint="eastAsia" w:ascii="Times New Roman" w:hAnsi="Times New Roman" w:eastAsia="仿宋" w:cs="Times New Roman"/>
          <w:color w:val="000000"/>
          <w:sz w:val="24"/>
          <w:lang w:val="en-US" w:eastAsia="zh-CN" w:bidi="en-US"/>
        </w:rPr>
        <w:t>DB36-2024-1-15</w:t>
      </w:r>
      <w:r>
        <w:rPr>
          <w:rFonts w:hint="eastAsia" w:ascii="Times New Roman" w:hAnsi="Times New Roman" w:eastAsia="仿宋" w:cs="Times New Roman"/>
          <w:color w:val="000000"/>
          <w:sz w:val="24"/>
          <w:lang w:eastAsia="zh-CN" w:bidi="en-US"/>
        </w:rPr>
        <w:t>。</w:t>
      </w:r>
    </w:p>
    <w:p w14:paraId="33A10E4A">
      <w:pPr>
        <w:pStyle w:val="2"/>
        <w:numPr>
          <w:ilvl w:val="0"/>
          <w:numId w:val="0"/>
        </w:numPr>
        <w:bidi w:val="0"/>
        <w:rPr>
          <w:rFonts w:hint="eastAsia" w:ascii="Times New Roman" w:hAnsi="Times New Roman" w:eastAsia="宋体" w:cs="Times New Roman"/>
          <w:b/>
          <w:bCs w:val="0"/>
          <w:kern w:val="2"/>
          <w:sz w:val="28"/>
          <w:szCs w:val="28"/>
          <w:lang w:val="en-US" w:eastAsia="zh-CN" w:bidi="ar-SA"/>
        </w:rPr>
      </w:pPr>
      <w:r>
        <w:rPr>
          <w:rFonts w:hint="eastAsia" w:ascii="Times New Roman" w:hAnsi="Times New Roman" w:cs="Times New Roman"/>
          <w:b/>
          <w:bCs w:val="0"/>
          <w:kern w:val="2"/>
          <w:sz w:val="28"/>
          <w:szCs w:val="28"/>
          <w:lang w:val="en-US" w:eastAsia="zh-CN" w:bidi="ar-SA"/>
        </w:rPr>
        <w:t>3.2.4</w:t>
      </w:r>
      <w:r>
        <w:rPr>
          <w:rFonts w:hint="eastAsia" w:ascii="Times New Roman" w:hAnsi="Times New Roman" w:eastAsia="宋体" w:cs="Times New Roman"/>
          <w:b/>
          <w:bCs w:val="0"/>
          <w:kern w:val="2"/>
          <w:sz w:val="28"/>
          <w:szCs w:val="28"/>
          <w:lang w:val="en-US" w:eastAsia="zh-CN" w:bidi="ar-SA"/>
        </w:rPr>
        <w:t>方法验证</w:t>
      </w:r>
    </w:p>
    <w:p w14:paraId="4CA705F0">
      <w:pPr>
        <w:ind w:firstLine="480"/>
        <w:rPr>
          <w:rFonts w:ascii="Times New Roman" w:hAnsi="Times New Roman" w:eastAsia="仿宋_GB2312" w:cs="Times New Roman"/>
        </w:rPr>
      </w:pPr>
      <w:r>
        <w:rPr>
          <w:rFonts w:hint="eastAsia" w:ascii="Times New Roman" w:hAnsi="Times New Roman" w:eastAsia="仿宋" w:cs="Times New Roman"/>
          <w:color w:val="000000"/>
          <w:sz w:val="24"/>
          <w:highlight w:val="none"/>
          <w:lang w:val="en-US" w:eastAsia="zh-CN" w:bidi="en-US"/>
        </w:rPr>
        <w:t>2024年</w:t>
      </w:r>
      <w:r>
        <w:rPr>
          <w:rFonts w:hint="eastAsia" w:ascii="Times New Roman" w:hAnsi="Times New Roman" w:eastAsia="仿宋" w:cs="Times New Roman"/>
          <w:color w:val="000000"/>
          <w:sz w:val="24"/>
          <w:lang w:val="en-US" w:eastAsia="zh-CN" w:bidi="en-US"/>
        </w:rPr>
        <w:t>4</w:t>
      </w:r>
      <w:r>
        <w:rPr>
          <w:rFonts w:hint="default" w:ascii="Times New Roman" w:hAnsi="Times New Roman" w:eastAsia="仿宋" w:cs="Times New Roman"/>
          <w:color w:val="000000"/>
          <w:sz w:val="24"/>
          <w:lang w:val="en-US" w:eastAsia="zh-CN" w:bidi="en-US"/>
        </w:rPr>
        <w:t>~</w:t>
      </w:r>
      <w:r>
        <w:rPr>
          <w:rFonts w:hint="eastAsia" w:ascii="Times New Roman" w:hAnsi="Times New Roman" w:eastAsia="仿宋" w:cs="Times New Roman"/>
          <w:color w:val="000000"/>
          <w:sz w:val="24"/>
          <w:lang w:val="en-US" w:eastAsia="zh-CN" w:bidi="en-US"/>
        </w:rPr>
        <w:t>7月，核工业二七0研究所、江西省辐射环境监督站、南昌大学、江西省景德镇生态环境监测中心、核工业二八0研究所、核工业二九0研究所共6家单位分别对该标准进行了方法验证，验证内容包括方法检出限、测定下限、精密度、准确度等，于2024年8月各单位完成《固体废物 铀 钍的测定 电感耦合等离子体质谱法》方法验证报告。</w:t>
      </w:r>
    </w:p>
    <w:bookmarkEnd w:id="1"/>
    <w:p w14:paraId="35FE6787">
      <w:pPr>
        <w:pStyle w:val="2"/>
        <w:bidi w:val="0"/>
        <w:rPr>
          <w:rFonts w:ascii="Times New Roman" w:hAnsi="Times New Roman" w:cs="Times New Roman"/>
          <w:b/>
          <w:bCs w:val="0"/>
        </w:rPr>
      </w:pPr>
      <w:r>
        <w:rPr>
          <w:rFonts w:hint="eastAsia" w:ascii="Times New Roman" w:hAnsi="Times New Roman" w:cs="Times New Roman"/>
          <w:b/>
          <w:bCs w:val="0"/>
          <w:kern w:val="2"/>
          <w:sz w:val="28"/>
          <w:szCs w:val="28"/>
          <w:lang w:val="en-US" w:eastAsia="zh-CN" w:bidi="ar-SA"/>
        </w:rPr>
        <w:t>3.2.5</w:t>
      </w:r>
      <w:r>
        <w:rPr>
          <w:rFonts w:hint="eastAsia" w:ascii="Times New Roman" w:hAnsi="Times New Roman" w:eastAsia="宋体" w:cs="Times New Roman"/>
          <w:b/>
          <w:bCs w:val="0"/>
          <w:kern w:val="2"/>
          <w:sz w:val="28"/>
          <w:szCs w:val="28"/>
          <w:lang w:val="en-US" w:eastAsia="zh-CN" w:bidi="ar-SA"/>
        </w:rPr>
        <w:t>编写征求意见稿和编制说明</w:t>
      </w:r>
      <w:r>
        <w:rPr>
          <w:rFonts w:hint="eastAsia"/>
          <w:lang w:val="en-US" w:eastAsia="zh-CN"/>
        </w:rPr>
        <w:t xml:space="preserve"> </w:t>
      </w:r>
    </w:p>
    <w:p w14:paraId="23B049E0">
      <w:pPr>
        <w:ind w:firstLine="480"/>
        <w:rPr>
          <w:rFonts w:hint="eastAsia" w:ascii="Times New Roman" w:hAnsi="Times New Roman" w:eastAsia="仿宋" w:cs="Times New Roman"/>
          <w:color w:val="000000"/>
          <w:sz w:val="24"/>
          <w:lang w:val="en-US" w:eastAsia="zh-CN" w:bidi="en-US"/>
        </w:rPr>
      </w:pPr>
      <w:r>
        <w:rPr>
          <w:rFonts w:hint="eastAsia" w:ascii="Times New Roman" w:hAnsi="Times New Roman" w:eastAsia="仿宋" w:cs="Times New Roman"/>
          <w:color w:val="000000"/>
          <w:sz w:val="24"/>
          <w:lang w:val="en-US" w:eastAsia="zh-CN" w:bidi="en-US"/>
        </w:rPr>
        <w:t>2024年8</w:t>
      </w:r>
      <w:r>
        <w:rPr>
          <w:rFonts w:hint="default" w:ascii="Times New Roman" w:hAnsi="Times New Roman" w:eastAsia="仿宋" w:cs="Times New Roman"/>
          <w:color w:val="000000"/>
          <w:sz w:val="24"/>
          <w:lang w:val="en-US" w:eastAsia="zh-CN" w:bidi="en-US"/>
        </w:rPr>
        <w:t>~</w:t>
      </w:r>
      <w:r>
        <w:rPr>
          <w:rFonts w:hint="eastAsia" w:ascii="Times New Roman" w:hAnsi="Times New Roman" w:eastAsia="仿宋" w:cs="Times New Roman"/>
          <w:color w:val="000000"/>
          <w:sz w:val="24"/>
          <w:lang w:val="en-US" w:eastAsia="zh-CN" w:bidi="en-US"/>
        </w:rPr>
        <w:t>9月，编写《固体废物 铀 钍的测定 电感耦合等离子体质谱法》征求意见稿及编制说明。</w:t>
      </w:r>
    </w:p>
    <w:p w14:paraId="57C49BFF">
      <w:pPr>
        <w:pStyle w:val="2"/>
        <w:numPr>
          <w:ilvl w:val="0"/>
          <w:numId w:val="0"/>
        </w:numPr>
        <w:ind w:leftChars="0"/>
        <w:rPr>
          <w:rFonts w:ascii="Times New Roman" w:hAnsi="Times New Roman" w:cs="Times New Roman"/>
        </w:rPr>
      </w:pPr>
      <w:r>
        <w:rPr>
          <w:rFonts w:hint="eastAsia" w:ascii="宋体" w:hAnsi="宋体" w:eastAsia="宋体" w:cs="宋体"/>
          <w:lang w:val="en-US" w:eastAsia="zh-CN"/>
        </w:rPr>
        <w:t>4</w:t>
      </w:r>
      <w:r>
        <w:rPr>
          <w:rFonts w:hint="eastAsia" w:ascii="宋体" w:hAnsi="宋体" w:cs="宋体"/>
          <w:lang w:val="en-US" w:eastAsia="zh-CN"/>
        </w:rPr>
        <w:t>标准制定</w:t>
      </w:r>
      <w:r>
        <w:rPr>
          <w:rFonts w:ascii="Times New Roman" w:hAnsi="Times New Roman" w:cs="Times New Roman"/>
        </w:rPr>
        <w:t>遵循原则和依据，与现行法律、法规、标准的关系</w:t>
      </w:r>
    </w:p>
    <w:p w14:paraId="1D4A898B">
      <w:pPr>
        <w:ind w:firstLine="480"/>
        <w:rPr>
          <w:rFonts w:hint="eastAsia" w:ascii="Times New Roman" w:hAnsi="Times New Roman" w:eastAsia="仿宋" w:cs="Times New Roman"/>
          <w:color w:val="000000"/>
          <w:sz w:val="24"/>
          <w:lang w:val="en-US" w:eastAsia="zh-CN" w:bidi="en-US"/>
        </w:rPr>
      </w:pPr>
      <w:r>
        <w:rPr>
          <w:rFonts w:hint="eastAsia" w:ascii="Times New Roman" w:hAnsi="Times New Roman" w:eastAsia="仿宋" w:cs="Times New Roman"/>
          <w:color w:val="000000"/>
          <w:sz w:val="24"/>
          <w:lang w:val="en-US" w:eastAsia="zh-CN" w:bidi="en-US"/>
        </w:rPr>
        <w:t>本标准编制遵循“针对性、先进性、实用性、统一性、规范性”的原则，尽可能与国内外领先标准接轨，注重了标准的可操作性，严格按GB/T 1.1-2020的最新版本的要求进行编写。</w:t>
      </w:r>
    </w:p>
    <w:p w14:paraId="3B356B66">
      <w:pPr>
        <w:ind w:firstLine="480"/>
        <w:rPr>
          <w:rFonts w:hint="eastAsia" w:ascii="Times New Roman" w:hAnsi="Times New Roman" w:eastAsia="仿宋" w:cs="Times New Roman"/>
          <w:color w:val="000000"/>
          <w:sz w:val="24"/>
          <w:lang w:val="en-US" w:eastAsia="zh-CN" w:bidi="en-US"/>
        </w:rPr>
      </w:pPr>
      <w:r>
        <w:rPr>
          <w:rFonts w:hint="eastAsia" w:ascii="Times New Roman" w:hAnsi="Times New Roman" w:eastAsia="仿宋" w:cs="Times New Roman"/>
          <w:color w:val="000000"/>
          <w:sz w:val="24"/>
          <w:lang w:val="en-US" w:eastAsia="zh-CN" w:bidi="en-US"/>
        </w:rPr>
        <w:t>本标准的制订依据《中华人民共和国标准化法》《中华人民共和国标准化法实施条例》的要求，查阅大量国内外文献，拟定实验方案、开展方法验证实验、编制标准草案、组织专家论证、完成标准征求意见稿，并经过大量实验验证后编制而成。</w:t>
      </w:r>
    </w:p>
    <w:p w14:paraId="0E203E86">
      <w:pPr>
        <w:ind w:firstLine="480"/>
        <w:rPr>
          <w:rFonts w:hint="eastAsia" w:ascii="Times New Roman" w:hAnsi="Times New Roman" w:eastAsia="仿宋" w:cs="Times New Roman"/>
          <w:color w:val="000000"/>
          <w:sz w:val="24"/>
          <w:lang w:val="en-US" w:eastAsia="zh-CN" w:bidi="en-US"/>
        </w:rPr>
      </w:pPr>
      <w:r>
        <w:rPr>
          <w:rFonts w:hint="eastAsia" w:ascii="Times New Roman" w:hAnsi="Times New Roman" w:eastAsia="仿宋" w:cs="Times New Roman"/>
          <w:color w:val="000000"/>
          <w:sz w:val="24"/>
          <w:lang w:val="en-US" w:eastAsia="zh-CN" w:bidi="en-US"/>
        </w:rPr>
        <w:t>经工标网查询，无“固体废物 铀、钍的测定 电感耦合等离子体质谱法”国家标准、行业标准或地方标准等相关强制性标准，不与相关标准内容雷同。本标准为新起草的标准，不违背现行法律、法规和强制性标准，本标准的制定将为固体废物 铀、钍的测定提供规范的检测方法，是落实《中华人民共和国环境保护法》《中华人民共和国放射性污染防治法》《矿产资源开发利用辐射环境管理名录》、满足污染物铀、钍源头控制、循环利用、废物减量化及辐射环境质量管理要求的具体举措。标准编写过程中根据需要引用 HJ/T20 《工业固体废物采样制样技术规范》、HJ/T298 《危险废物鉴别技术规范》、HJ/T299 《固体废物 浸出毒性浸出方法 硫酸硝酸法》、HJ/T300 《固体废物 浸出毒性浸出方法 醋酸缓冲溶液法》、HJ557《 固体废物 浸出毒性浸出方法 水平振荡法》等。</w:t>
      </w:r>
    </w:p>
    <w:p w14:paraId="0F1BC81B">
      <w:pPr>
        <w:pStyle w:val="2"/>
        <w:rPr>
          <w:rFonts w:hint="eastAsia" w:ascii="宋体" w:hAnsi="宋体" w:eastAsia="宋体" w:cs="宋体"/>
          <w:lang w:eastAsia="zh-CN"/>
        </w:rPr>
      </w:pPr>
      <w:r>
        <w:rPr>
          <w:rFonts w:hint="eastAsia" w:ascii="宋体" w:hAnsi="宋体" w:eastAsia="宋体" w:cs="宋体"/>
          <w:lang w:val="en-US" w:eastAsia="zh-CN"/>
        </w:rPr>
        <w:t>5</w:t>
      </w:r>
      <w:r>
        <w:rPr>
          <w:rFonts w:hint="eastAsia" w:ascii="宋体" w:hAnsi="宋体" w:eastAsia="宋体" w:cs="宋体"/>
          <w:lang w:eastAsia="zh-CN"/>
        </w:rPr>
        <w:t>方法研究报告</w:t>
      </w:r>
    </w:p>
    <w:p w14:paraId="2C6831D1">
      <w:pPr>
        <w:pStyle w:val="2"/>
        <w:numPr>
          <w:ilvl w:val="0"/>
          <w:numId w:val="0"/>
        </w:numPr>
        <w:bidi w:val="0"/>
        <w:rPr>
          <w:rFonts w:hint="eastAsia" w:ascii="宋体" w:hAnsi="宋体" w:eastAsia="宋体" w:cs="宋体"/>
          <w:b/>
          <w:bCs w:val="0"/>
          <w:kern w:val="2"/>
          <w:sz w:val="28"/>
          <w:szCs w:val="28"/>
          <w:lang w:val="en-US" w:eastAsia="zh-CN" w:bidi="ar-SA"/>
        </w:rPr>
      </w:pPr>
      <w:r>
        <w:rPr>
          <w:rFonts w:hint="eastAsia" w:ascii="宋体" w:hAnsi="宋体" w:eastAsia="宋体" w:cs="宋体"/>
          <w:b/>
          <w:bCs w:val="0"/>
          <w:kern w:val="2"/>
          <w:sz w:val="28"/>
          <w:szCs w:val="28"/>
          <w:lang w:val="en-US" w:eastAsia="zh-CN" w:bidi="ar-SA"/>
        </w:rPr>
        <w:t>5.1适用范围</w:t>
      </w:r>
    </w:p>
    <w:p w14:paraId="30273B3B">
      <w:pPr>
        <w:pStyle w:val="12"/>
        <w:spacing w:line="360" w:lineRule="auto"/>
        <w:ind w:firstLine="480"/>
        <w:rPr>
          <w:rFonts w:ascii="仿宋" w:hAnsi="仿宋" w:eastAsia="仿宋"/>
          <w:color w:val="000000"/>
          <w:kern w:val="2"/>
          <w:sz w:val="24"/>
          <w:szCs w:val="24"/>
          <w:lang w:bidi="en-US"/>
        </w:rPr>
      </w:pPr>
      <w:r>
        <w:rPr>
          <w:rFonts w:hint="eastAsia" w:ascii="Times New Roman" w:hAnsi="Times New Roman" w:eastAsia="仿宋" w:cs="Times New Roman"/>
          <w:color w:val="000000"/>
          <w:kern w:val="2"/>
          <w:sz w:val="24"/>
          <w:szCs w:val="22"/>
          <w:lang w:val="en-US" w:eastAsia="zh-CN" w:bidi="en-US"/>
        </w:rPr>
        <w:t>本标准规定了测定固体废物和固体废物浸出液中铀、钍的电感耦合等离子体质谱法。</w:t>
      </w:r>
    </w:p>
    <w:p w14:paraId="2DEE4E95">
      <w:pPr>
        <w:pStyle w:val="22"/>
        <w:numPr>
          <w:ilvl w:val="0"/>
          <w:numId w:val="0"/>
        </w:numPr>
        <w:spacing w:line="360" w:lineRule="auto"/>
        <w:ind w:firstLine="480" w:firstLineChars="200"/>
        <w:rPr>
          <w:rFonts w:hint="eastAsia" w:ascii="仿宋" w:hAnsi="仿宋" w:eastAsia="仿宋" w:cs="仿宋"/>
          <w:b w:val="0"/>
          <w:bCs w:val="0"/>
          <w:color w:val="000000"/>
          <w:kern w:val="2"/>
          <w:sz w:val="24"/>
          <w:szCs w:val="24"/>
          <w:lang w:val="en-US" w:eastAsia="zh-CN" w:bidi="en-US"/>
        </w:rPr>
      </w:pPr>
      <w:r>
        <w:rPr>
          <w:rFonts w:hint="eastAsia" w:ascii="Times New Roman" w:hAnsi="Times New Roman" w:eastAsia="仿宋" w:cs="Times New Roman"/>
          <w:b w:val="0"/>
          <w:bCs w:val="0"/>
          <w:color w:val="000000"/>
          <w:kern w:val="2"/>
          <w:sz w:val="24"/>
          <w:szCs w:val="22"/>
          <w:lang w:val="en-US" w:eastAsia="zh-CN" w:bidi="en-US"/>
        </w:rPr>
        <w:t>本标准适用于固体废物和固体废物浸出液铀（U)、钍(Th)的测定。</w:t>
      </w:r>
      <w:r>
        <w:rPr>
          <w:rFonts w:hint="eastAsia" w:ascii="仿宋" w:hAnsi="仿宋" w:eastAsia="仿宋" w:cs="仿宋"/>
          <w:b w:val="0"/>
          <w:bCs w:val="0"/>
          <w:sz w:val="24"/>
          <w:szCs w:val="24"/>
          <w:lang w:eastAsia="zh-CN"/>
        </w:rPr>
        <w:t>不</w:t>
      </w:r>
      <w:r>
        <w:rPr>
          <w:rFonts w:hint="eastAsia" w:ascii="仿宋" w:hAnsi="仿宋" w:eastAsia="仿宋" w:cs="仿宋"/>
          <w:b w:val="0"/>
          <w:bCs w:val="0"/>
          <w:sz w:val="24"/>
          <w:szCs w:val="24"/>
        </w:rPr>
        <w:t>适用</w:t>
      </w:r>
      <w:r>
        <w:rPr>
          <w:rFonts w:hint="eastAsia" w:ascii="仿宋" w:hAnsi="仿宋" w:eastAsia="仿宋" w:cs="仿宋"/>
          <w:b w:val="0"/>
          <w:bCs w:val="0"/>
          <w:sz w:val="24"/>
          <w:szCs w:val="24"/>
          <w:lang w:eastAsia="zh-CN"/>
        </w:rPr>
        <w:t>于同位素分离企业、核燃料元件生产企业</w:t>
      </w:r>
      <w:r>
        <w:rPr>
          <w:rFonts w:hint="eastAsia" w:ascii="仿宋" w:hAnsi="仿宋" w:eastAsia="仿宋" w:cs="仿宋"/>
          <w:b w:val="0"/>
          <w:bCs w:val="0"/>
          <w:sz w:val="24"/>
          <w:szCs w:val="24"/>
        </w:rPr>
        <w:t>固体废物和固体废物浸出液铀</w:t>
      </w:r>
      <w:r>
        <w:rPr>
          <w:rFonts w:hint="eastAsia" w:ascii="仿宋" w:hAnsi="仿宋" w:eastAsia="仿宋" w:cs="仿宋"/>
          <w:b w:val="0"/>
          <w:bCs w:val="0"/>
          <w:sz w:val="24"/>
          <w:szCs w:val="24"/>
          <w:lang w:val="en-US" w:eastAsia="zh-CN"/>
        </w:rPr>
        <w:t>-238</w:t>
      </w:r>
      <w:r>
        <w:rPr>
          <w:rFonts w:hint="eastAsia" w:ascii="仿宋" w:hAnsi="仿宋" w:eastAsia="仿宋" w:cs="仿宋"/>
          <w:b w:val="0"/>
          <w:bCs w:val="0"/>
          <w:sz w:val="24"/>
          <w:szCs w:val="24"/>
        </w:rPr>
        <w:t>（</w:t>
      </w:r>
      <w:r>
        <w:rPr>
          <w:rFonts w:hint="eastAsia" w:ascii="仿宋" w:hAnsi="仿宋" w:eastAsia="仿宋" w:cs="仿宋"/>
          <w:b w:val="0"/>
          <w:bCs w:val="0"/>
          <w:sz w:val="24"/>
          <w:szCs w:val="24"/>
          <w:vertAlign w:val="superscript"/>
          <w:lang w:val="en-US" w:eastAsia="zh-CN"/>
        </w:rPr>
        <w:t>238</w:t>
      </w:r>
      <w:r>
        <w:rPr>
          <w:rFonts w:hint="eastAsia" w:ascii="仿宋" w:hAnsi="仿宋" w:eastAsia="仿宋" w:cs="仿宋"/>
          <w:b w:val="0"/>
          <w:bCs w:val="0"/>
          <w:sz w:val="24"/>
          <w:szCs w:val="24"/>
        </w:rPr>
        <w:t>U)、钍</w:t>
      </w:r>
      <w:r>
        <w:rPr>
          <w:rFonts w:hint="eastAsia" w:ascii="仿宋" w:hAnsi="仿宋" w:eastAsia="仿宋" w:cs="仿宋"/>
          <w:b w:val="0"/>
          <w:bCs w:val="0"/>
          <w:sz w:val="24"/>
          <w:szCs w:val="24"/>
          <w:lang w:val="en-US" w:eastAsia="zh-CN"/>
        </w:rPr>
        <w:t>-232</w:t>
      </w:r>
      <w:r>
        <w:rPr>
          <w:rFonts w:hint="eastAsia" w:ascii="仿宋" w:hAnsi="仿宋" w:eastAsia="仿宋" w:cs="仿宋"/>
          <w:b w:val="0"/>
          <w:bCs w:val="0"/>
          <w:sz w:val="24"/>
          <w:szCs w:val="24"/>
        </w:rPr>
        <w:t>(</w:t>
      </w:r>
      <w:r>
        <w:rPr>
          <w:rFonts w:hint="eastAsia" w:ascii="仿宋" w:hAnsi="仿宋" w:eastAsia="仿宋" w:cs="仿宋"/>
          <w:b w:val="0"/>
          <w:bCs w:val="0"/>
          <w:sz w:val="24"/>
          <w:szCs w:val="24"/>
          <w:vertAlign w:val="superscript"/>
          <w:lang w:val="en-US" w:eastAsia="zh-CN"/>
        </w:rPr>
        <w:t>232</w:t>
      </w:r>
      <w:r>
        <w:rPr>
          <w:rFonts w:hint="eastAsia" w:ascii="仿宋" w:hAnsi="仿宋" w:eastAsia="仿宋" w:cs="仿宋"/>
          <w:b w:val="0"/>
          <w:bCs w:val="0"/>
          <w:sz w:val="24"/>
          <w:szCs w:val="24"/>
        </w:rPr>
        <w:t>Th)的测定。</w:t>
      </w:r>
    </w:p>
    <w:p w14:paraId="69CD5A90">
      <w:pPr>
        <w:pStyle w:val="2"/>
        <w:numPr>
          <w:ilvl w:val="0"/>
          <w:numId w:val="0"/>
        </w:numPr>
        <w:bidi w:val="0"/>
        <w:rPr>
          <w:rFonts w:hint="eastAsia" w:ascii="宋体" w:hAnsi="宋体" w:eastAsia="宋体" w:cs="宋体"/>
          <w:b/>
          <w:bCs w:val="0"/>
          <w:kern w:val="2"/>
          <w:sz w:val="28"/>
          <w:szCs w:val="28"/>
          <w:lang w:val="en-US" w:eastAsia="zh-CN" w:bidi="ar-SA"/>
        </w:rPr>
      </w:pPr>
      <w:r>
        <w:rPr>
          <w:rFonts w:hint="eastAsia" w:ascii="宋体" w:hAnsi="宋体" w:eastAsia="宋体" w:cs="宋体"/>
          <w:b/>
          <w:bCs w:val="0"/>
          <w:kern w:val="2"/>
          <w:sz w:val="28"/>
          <w:szCs w:val="28"/>
          <w:lang w:val="en-US" w:eastAsia="zh-CN" w:bidi="ar-SA"/>
        </w:rPr>
        <w:t xml:space="preserve">5.2方法原理 </w:t>
      </w:r>
    </w:p>
    <w:p w14:paraId="696E3855">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固体废物或固体废物浸出液经消解预处理后，采用电感耦合等离子体质谱仪进行检测，根据元素的质谱图或特征离子进行定性，内标法定量。</w:t>
      </w:r>
    </w:p>
    <w:p w14:paraId="2A78B9EC">
      <w:pPr>
        <w:pStyle w:val="2"/>
        <w:numPr>
          <w:ilvl w:val="0"/>
          <w:numId w:val="0"/>
        </w:numPr>
        <w:bidi w:val="0"/>
        <w:rPr>
          <w:rFonts w:hint="eastAsia" w:ascii="宋体" w:hAnsi="宋体" w:eastAsia="宋体" w:cs="宋体"/>
          <w:b/>
          <w:bCs w:val="0"/>
          <w:kern w:val="2"/>
          <w:sz w:val="28"/>
          <w:szCs w:val="28"/>
          <w:lang w:val="en-US" w:eastAsia="zh-CN" w:bidi="ar-SA"/>
        </w:rPr>
      </w:pPr>
      <w:r>
        <w:rPr>
          <w:rFonts w:hint="eastAsia" w:ascii="宋体" w:hAnsi="宋体" w:eastAsia="宋体" w:cs="宋体"/>
          <w:b/>
          <w:bCs w:val="0"/>
          <w:kern w:val="2"/>
          <w:sz w:val="28"/>
          <w:szCs w:val="28"/>
          <w:lang w:val="en-US" w:eastAsia="zh-CN" w:bidi="ar-SA"/>
        </w:rPr>
        <w:t>5.3试剂和材料</w:t>
      </w:r>
    </w:p>
    <w:p w14:paraId="13561C8A">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除非另有说明，分析时均使用符合国家标准的优级纯化学试剂，实验用水为新制备的去离子水。</w:t>
      </w:r>
    </w:p>
    <w:p w14:paraId="1729C169">
      <w:pPr>
        <w:bidi w:val="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（1）</w:t>
      </w:r>
      <w:r>
        <w:rPr>
          <w:rFonts w:hint="eastAsia" w:ascii="Times New Roman" w:hAnsi="Times New Roman" w:eastAsia="仿宋" w:cs="Times New Roman"/>
          <w:b w:val="0"/>
          <w:bCs w:val="0"/>
          <w:color w:val="000000"/>
          <w:kern w:val="2"/>
          <w:sz w:val="24"/>
          <w:szCs w:val="22"/>
          <w:lang w:val="en-US" w:eastAsia="zh-CN" w:bidi="en-US"/>
        </w:rPr>
        <w:t>盐酸：ρ(HCl)=1.19g/mL,优级纯或高纯。</w:t>
      </w:r>
    </w:p>
    <w:p w14:paraId="5EF5D4D2">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（2）</w:t>
      </w:r>
      <w:r>
        <w:rPr>
          <w:rFonts w:hint="eastAsia" w:ascii="Times New Roman" w:hAnsi="Times New Roman" w:eastAsia="仿宋" w:cs="Times New Roman"/>
          <w:b w:val="0"/>
          <w:bCs w:val="0"/>
          <w:color w:val="000000"/>
          <w:kern w:val="2"/>
          <w:sz w:val="24"/>
          <w:szCs w:val="22"/>
          <w:lang w:val="en-US" w:eastAsia="zh-CN" w:bidi="en-US"/>
        </w:rPr>
        <w:t xml:space="preserve"> 硝酸：ρ(HNO3)=1.42g/mL,优级纯或高纯。</w:t>
      </w:r>
    </w:p>
    <w:p w14:paraId="1063CCAD">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（3）</w:t>
      </w:r>
      <w:r>
        <w:rPr>
          <w:rFonts w:hint="eastAsia" w:ascii="Times New Roman" w:hAnsi="Times New Roman" w:eastAsia="仿宋" w:cs="Times New Roman"/>
          <w:b w:val="0"/>
          <w:bCs w:val="0"/>
          <w:color w:val="000000"/>
          <w:kern w:val="2"/>
          <w:sz w:val="24"/>
          <w:szCs w:val="22"/>
          <w:lang w:val="en-US" w:eastAsia="zh-CN" w:bidi="en-US"/>
        </w:rPr>
        <w:t xml:space="preserve"> 氢氟酸：ρ(HF)=1.19g/mL,优级纯或高纯。</w:t>
      </w:r>
    </w:p>
    <w:p w14:paraId="0A6ABE1F">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（4）</w:t>
      </w:r>
      <w:r>
        <w:rPr>
          <w:rFonts w:hint="eastAsia" w:ascii="Times New Roman" w:hAnsi="Times New Roman" w:eastAsia="仿宋" w:cs="Times New Roman"/>
          <w:b w:val="0"/>
          <w:bCs w:val="0"/>
          <w:color w:val="000000"/>
          <w:kern w:val="2"/>
          <w:sz w:val="24"/>
          <w:szCs w:val="22"/>
          <w:lang w:val="en-US" w:eastAsia="zh-CN" w:bidi="en-US"/>
        </w:rPr>
        <w:t xml:space="preserve"> 高氯酸：ρ(HClO4)=1.68g/mL,优级纯或高纯。</w:t>
      </w:r>
    </w:p>
    <w:p w14:paraId="0A8037D1">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（5）</w:t>
      </w:r>
      <w:r>
        <w:rPr>
          <w:rFonts w:hint="eastAsia" w:ascii="Times New Roman" w:hAnsi="Times New Roman" w:eastAsia="仿宋" w:cs="Times New Roman"/>
          <w:b w:val="0"/>
          <w:bCs w:val="0"/>
          <w:color w:val="000000"/>
          <w:kern w:val="2"/>
          <w:sz w:val="24"/>
          <w:szCs w:val="22"/>
          <w:lang w:val="en-US" w:eastAsia="zh-CN" w:bidi="en-US"/>
        </w:rPr>
        <w:t xml:space="preserve"> 硝酸溶液：5+95。</w:t>
      </w:r>
    </w:p>
    <w:p w14:paraId="56495EDE">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（6）</w:t>
      </w:r>
      <w:r>
        <w:rPr>
          <w:rFonts w:hint="eastAsia" w:ascii="Times New Roman" w:hAnsi="Times New Roman" w:eastAsia="仿宋" w:cs="Times New Roman"/>
          <w:b w:val="0"/>
          <w:bCs w:val="0"/>
          <w:color w:val="000000"/>
          <w:kern w:val="2"/>
          <w:sz w:val="24"/>
          <w:szCs w:val="22"/>
          <w:lang w:val="en-US" w:eastAsia="zh-CN" w:bidi="en-US"/>
        </w:rPr>
        <w:t>硝酸溶液：2+98。</w:t>
      </w:r>
    </w:p>
    <w:p w14:paraId="00599678">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（7）</w:t>
      </w:r>
      <w:r>
        <w:rPr>
          <w:rFonts w:hint="eastAsia" w:ascii="Times New Roman" w:hAnsi="Times New Roman" w:eastAsia="仿宋" w:cs="Times New Roman"/>
          <w:b w:val="0"/>
          <w:bCs w:val="0"/>
          <w:color w:val="000000"/>
          <w:kern w:val="2"/>
          <w:sz w:val="24"/>
          <w:szCs w:val="22"/>
          <w:lang w:val="en-US" w:eastAsia="zh-CN" w:bidi="en-US"/>
        </w:rPr>
        <w:t xml:space="preserve"> 标准溶液：ρ=1.00mg/mL</w:t>
      </w:r>
    </w:p>
    <w:p w14:paraId="33FE8719">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（8）</w:t>
      </w:r>
      <w:r>
        <w:rPr>
          <w:rFonts w:hint="eastAsia" w:ascii="Times New Roman" w:hAnsi="Times New Roman" w:eastAsia="仿宋" w:cs="Times New Roman"/>
          <w:b w:val="0"/>
          <w:bCs w:val="0"/>
          <w:color w:val="000000"/>
          <w:kern w:val="2"/>
          <w:sz w:val="24"/>
          <w:szCs w:val="22"/>
          <w:lang w:val="en-US" w:eastAsia="zh-CN" w:bidi="en-US"/>
        </w:rPr>
        <w:t xml:space="preserve"> 铀标准贮备溶液：ρ(U)=1.00mg/mL。</w:t>
      </w:r>
    </w:p>
    <w:p w14:paraId="18486DE6">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用基准八氧化三铀配制成1.00mg/mL.含硝酸溶液（5.5）的标准贮备液，或可直接购买有证标准溶液。</w:t>
      </w:r>
    </w:p>
    <w:p w14:paraId="75813157">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（9）</w:t>
      </w:r>
      <w:r>
        <w:rPr>
          <w:rFonts w:hint="eastAsia" w:ascii="Times New Roman" w:hAnsi="Times New Roman" w:eastAsia="仿宋" w:cs="Times New Roman"/>
          <w:b w:val="0"/>
          <w:bCs w:val="0"/>
          <w:color w:val="000000"/>
          <w:kern w:val="2"/>
          <w:sz w:val="24"/>
          <w:szCs w:val="22"/>
          <w:lang w:val="en-US" w:eastAsia="zh-CN" w:bidi="en-US"/>
        </w:rPr>
        <w:t xml:space="preserve"> 钍标准贮备溶液：ρ(Th)=1.00mg/mL。</w:t>
      </w:r>
    </w:p>
    <w:p w14:paraId="4B6C5FE3">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直接购买有证标准溶液。</w:t>
      </w:r>
    </w:p>
    <w:p w14:paraId="4DF3373B">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（10）</w:t>
      </w:r>
      <w:r>
        <w:rPr>
          <w:rFonts w:hint="eastAsia" w:ascii="Times New Roman" w:hAnsi="Times New Roman" w:eastAsia="仿宋" w:cs="Times New Roman"/>
          <w:b w:val="0"/>
          <w:bCs w:val="0"/>
          <w:color w:val="000000"/>
          <w:kern w:val="2"/>
          <w:sz w:val="24"/>
          <w:szCs w:val="22"/>
          <w:lang w:val="en-US" w:eastAsia="zh-CN" w:bidi="en-US"/>
        </w:rPr>
        <w:t xml:space="preserve"> 混合标准贮备液：ρ=100mg/L。</w:t>
      </w:r>
    </w:p>
    <w:p w14:paraId="489EB33E">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用硝酸溶液（5）稀释单元素贮备液（8）、（9），或可直接购买铀、钍混合有证标准溶液。</w:t>
      </w:r>
    </w:p>
    <w:p w14:paraId="2402B990">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（11）</w:t>
      </w:r>
      <w:r>
        <w:rPr>
          <w:rFonts w:hint="eastAsia" w:ascii="Times New Roman" w:hAnsi="Times New Roman" w:eastAsia="仿宋" w:cs="Times New Roman"/>
          <w:b w:val="0"/>
          <w:bCs w:val="0"/>
          <w:color w:val="000000"/>
          <w:kern w:val="2"/>
          <w:sz w:val="24"/>
          <w:szCs w:val="22"/>
          <w:lang w:val="en-US" w:eastAsia="zh-CN" w:bidi="en-US"/>
        </w:rPr>
        <w:t xml:space="preserve"> 混合标准使用液：ρ=1.00mg/L。</w:t>
      </w:r>
    </w:p>
    <w:p w14:paraId="7EDCB3F3">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用硝酸溶液（6）稀释混合标准贮备液（10）。</w:t>
      </w:r>
    </w:p>
    <w:p w14:paraId="07447701">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（12）</w:t>
      </w:r>
      <w:r>
        <w:rPr>
          <w:rFonts w:hint="eastAsia" w:ascii="Times New Roman" w:hAnsi="Times New Roman" w:eastAsia="仿宋" w:cs="Times New Roman"/>
          <w:b w:val="0"/>
          <w:bCs w:val="0"/>
          <w:color w:val="000000"/>
          <w:kern w:val="2"/>
          <w:sz w:val="24"/>
          <w:szCs w:val="22"/>
          <w:lang w:val="en-US" w:eastAsia="zh-CN" w:bidi="en-US"/>
        </w:rPr>
        <w:t xml:space="preserve"> 内标标准贮备液：ρ=10.0mg/L。</w:t>
      </w:r>
    </w:p>
    <w:p w14:paraId="56C8797E">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选用</w:t>
      </w:r>
      <w:r>
        <w:rPr>
          <w:rFonts w:hint="eastAsia" w:ascii="Times New Roman" w:hAnsi="Times New Roman" w:eastAsia="仿宋" w:cs="Times New Roman"/>
          <w:b w:val="0"/>
          <w:bCs w:val="0"/>
          <w:color w:val="000000"/>
          <w:kern w:val="2"/>
          <w:sz w:val="24"/>
          <w:szCs w:val="22"/>
          <w:vertAlign w:val="superscript"/>
          <w:lang w:val="en-US" w:eastAsia="zh-CN" w:bidi="en-US"/>
        </w:rPr>
        <w:t>103</w:t>
      </w:r>
      <w:r>
        <w:rPr>
          <w:rFonts w:hint="eastAsia" w:ascii="Times New Roman" w:hAnsi="Times New Roman" w:eastAsia="仿宋" w:cs="Times New Roman"/>
          <w:b w:val="0"/>
          <w:bCs w:val="0"/>
          <w:color w:val="000000"/>
          <w:kern w:val="2"/>
          <w:sz w:val="24"/>
          <w:szCs w:val="22"/>
          <w:lang w:val="en-US" w:eastAsia="zh-CN" w:bidi="en-US"/>
        </w:rPr>
        <w:t>Rh为内标元素。可直接购买有证标准溶液配制，介质为硝酸溶液（5）。</w:t>
      </w:r>
    </w:p>
    <w:p w14:paraId="6BB18B7B">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（13）</w:t>
      </w:r>
      <w:r>
        <w:rPr>
          <w:rFonts w:hint="eastAsia" w:ascii="Times New Roman" w:hAnsi="Times New Roman" w:eastAsia="仿宋" w:cs="Times New Roman"/>
          <w:b w:val="0"/>
          <w:bCs w:val="0"/>
          <w:color w:val="000000"/>
          <w:kern w:val="2"/>
          <w:sz w:val="24"/>
          <w:szCs w:val="22"/>
          <w:lang w:val="en-US" w:eastAsia="zh-CN" w:bidi="en-US"/>
        </w:rPr>
        <w:t xml:space="preserve"> 内标标准使用液：ρ=10.0µg/L。</w:t>
      </w:r>
    </w:p>
    <w:p w14:paraId="2272C8EC">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用硝酸溶液（6）稀释内标标准贮备液(12)。</w:t>
      </w:r>
    </w:p>
    <w:p w14:paraId="419B6F12">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（14）</w:t>
      </w:r>
      <w:r>
        <w:rPr>
          <w:rFonts w:hint="eastAsia" w:ascii="Times New Roman" w:hAnsi="Times New Roman" w:eastAsia="仿宋" w:cs="Times New Roman"/>
          <w:b w:val="0"/>
          <w:bCs w:val="0"/>
          <w:color w:val="000000"/>
          <w:kern w:val="2"/>
          <w:sz w:val="24"/>
          <w:szCs w:val="22"/>
          <w:lang w:val="en-US" w:eastAsia="zh-CN" w:bidi="en-US"/>
        </w:rPr>
        <w:t>质谱仪调谐液：ρ=1.00µg/L。</w:t>
      </w:r>
    </w:p>
    <w:p w14:paraId="4A291997">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选用含In、Li、Be、Ce、Fe、Mg、Pb元素的溶液为质谱仪调谐液。直接购买有证标准溶液配制。</w:t>
      </w:r>
    </w:p>
    <w:p w14:paraId="09D3D6DB">
      <w:pPr>
        <w:pStyle w:val="22"/>
        <w:numPr>
          <w:ilvl w:val="0"/>
          <w:numId w:val="0"/>
        </w:num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（15）</w:t>
      </w:r>
      <w:r>
        <w:rPr>
          <w:rFonts w:hint="eastAsia" w:ascii="Times New Roman" w:hAnsi="Times New Roman" w:eastAsia="仿宋" w:cs="Times New Roman"/>
          <w:b w:val="0"/>
          <w:bCs w:val="0"/>
          <w:color w:val="000000"/>
          <w:kern w:val="2"/>
          <w:sz w:val="24"/>
          <w:szCs w:val="22"/>
          <w:lang w:val="en-US" w:eastAsia="zh-CN" w:bidi="en-US"/>
        </w:rPr>
        <w:t>氩气：纯度不低于99.99%。</w:t>
      </w:r>
    </w:p>
    <w:p w14:paraId="0A5FB1FA">
      <w:pPr>
        <w:pStyle w:val="2"/>
        <w:numPr>
          <w:ilvl w:val="0"/>
          <w:numId w:val="0"/>
        </w:numPr>
        <w:bidi w:val="0"/>
        <w:rPr>
          <w:rFonts w:hint="eastAsia" w:ascii="宋体" w:hAnsi="宋体" w:eastAsia="宋体" w:cs="宋体"/>
          <w:b/>
          <w:bCs w:val="0"/>
          <w:kern w:val="2"/>
          <w:sz w:val="28"/>
          <w:szCs w:val="28"/>
          <w:lang w:val="en-US" w:eastAsia="zh-CN" w:bidi="ar-SA"/>
        </w:rPr>
      </w:pPr>
      <w:r>
        <w:rPr>
          <w:rFonts w:hint="eastAsia" w:ascii="宋体" w:hAnsi="宋体" w:eastAsia="宋体" w:cs="宋体"/>
          <w:b/>
          <w:bCs w:val="0"/>
          <w:kern w:val="2"/>
          <w:sz w:val="28"/>
          <w:szCs w:val="28"/>
          <w:lang w:val="en-US" w:eastAsia="zh-CN" w:bidi="ar-SA"/>
        </w:rPr>
        <w:t>5.4仪器和设备</w:t>
      </w:r>
    </w:p>
    <w:p w14:paraId="7B87D834">
      <w:pPr>
        <w:bidi w:val="0"/>
        <w:rPr>
          <w:rFonts w:hint="eastAsia" w:ascii="Times New Roman" w:hAnsi="Times New Roman" w:eastAsia="仿宋" w:cs="Times New Roman"/>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（1）</w:t>
      </w:r>
      <w:r>
        <w:rPr>
          <w:rFonts w:hint="eastAsia" w:ascii="Times New Roman" w:hAnsi="Times New Roman" w:eastAsia="仿宋" w:cs="Times New Roman"/>
          <w:color w:val="000000"/>
          <w:kern w:val="2"/>
          <w:sz w:val="24"/>
          <w:szCs w:val="22"/>
          <w:lang w:val="en-US" w:eastAsia="zh-CN" w:bidi="en-US"/>
        </w:rPr>
        <w:t>电感耦合等离子体质谱仪。</w:t>
      </w:r>
    </w:p>
    <w:p w14:paraId="10E8CD6D">
      <w:pPr>
        <w:bidi w:val="0"/>
        <w:rPr>
          <w:rFonts w:hint="eastAsia" w:ascii="Times New Roman" w:hAnsi="Times New Roman" w:eastAsia="仿宋" w:cs="Times New Roman"/>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（2）</w:t>
      </w:r>
      <w:r>
        <w:rPr>
          <w:rFonts w:hint="eastAsia" w:ascii="Times New Roman" w:hAnsi="Times New Roman" w:eastAsia="仿宋" w:cs="Times New Roman"/>
          <w:color w:val="000000"/>
          <w:kern w:val="2"/>
          <w:sz w:val="24"/>
          <w:szCs w:val="22"/>
          <w:lang w:val="en-US" w:eastAsia="zh-CN" w:bidi="en-US"/>
        </w:rPr>
        <w:t>温控电热板：温控精度±5℃，可控最高温度300℃。</w:t>
      </w:r>
    </w:p>
    <w:p w14:paraId="240A1266">
      <w:pPr>
        <w:bidi w:val="0"/>
        <w:rPr>
          <w:rFonts w:hint="eastAsia" w:ascii="Times New Roman" w:hAnsi="Times New Roman" w:eastAsia="仿宋" w:cs="Times New Roman"/>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（3）</w:t>
      </w:r>
      <w:r>
        <w:rPr>
          <w:rFonts w:hint="eastAsia" w:ascii="Times New Roman" w:hAnsi="Times New Roman" w:eastAsia="仿宋" w:cs="Times New Roman"/>
          <w:color w:val="000000"/>
          <w:kern w:val="2"/>
          <w:sz w:val="24"/>
          <w:szCs w:val="22"/>
          <w:lang w:val="en-US" w:eastAsia="zh-CN" w:bidi="en-US"/>
        </w:rPr>
        <w:t>天平：感量0.1mg。</w:t>
      </w:r>
    </w:p>
    <w:p w14:paraId="4259227E">
      <w:pPr>
        <w:bidi w:val="0"/>
        <w:rPr>
          <w:rFonts w:hint="eastAsia" w:ascii="Times New Roman" w:hAnsi="Times New Roman" w:eastAsia="仿宋" w:cs="Times New Roman"/>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（4）</w:t>
      </w:r>
      <w:r>
        <w:rPr>
          <w:rFonts w:hint="eastAsia" w:ascii="Times New Roman" w:hAnsi="Times New Roman" w:eastAsia="仿宋" w:cs="Times New Roman"/>
          <w:color w:val="000000"/>
          <w:kern w:val="2"/>
          <w:sz w:val="24"/>
          <w:szCs w:val="22"/>
          <w:lang w:val="en-US" w:eastAsia="zh-CN" w:bidi="en-US"/>
        </w:rPr>
        <w:t>尼龙筛：0.15mm(100目）。</w:t>
      </w:r>
    </w:p>
    <w:p w14:paraId="0049C1E1">
      <w:pPr>
        <w:bidi w:val="0"/>
        <w:rPr>
          <w:rFonts w:hint="eastAsia" w:ascii="Times New Roman" w:hAnsi="Times New Roman" w:eastAsia="仿宋" w:cs="Times New Roman"/>
          <w:color w:val="000000"/>
          <w:kern w:val="2"/>
          <w:sz w:val="24"/>
          <w:szCs w:val="22"/>
          <w:lang w:val="en-US" w:eastAsia="zh-CN" w:bidi="en-US"/>
        </w:rPr>
      </w:pPr>
      <w:r>
        <w:rPr>
          <w:rFonts w:hint="eastAsia" w:ascii="仿宋" w:hAnsi="仿宋" w:eastAsia="仿宋" w:cs="仿宋"/>
          <w:b w:val="0"/>
          <w:bCs w:val="0"/>
          <w:color w:val="000000"/>
          <w:kern w:val="2"/>
          <w:sz w:val="24"/>
          <w:szCs w:val="24"/>
          <w:lang w:val="en-US" w:eastAsia="zh-CN" w:bidi="en-US"/>
        </w:rPr>
        <w:t>（5）</w:t>
      </w:r>
      <w:r>
        <w:rPr>
          <w:rFonts w:hint="eastAsia" w:ascii="Times New Roman" w:hAnsi="Times New Roman" w:eastAsia="仿宋" w:cs="Times New Roman"/>
          <w:color w:val="000000"/>
          <w:kern w:val="2"/>
          <w:sz w:val="24"/>
          <w:szCs w:val="22"/>
          <w:lang w:val="en-US" w:eastAsia="zh-CN" w:bidi="en-US"/>
        </w:rPr>
        <w:t>滤膜：水系微孔滤膜，孔径0.45µm。</w:t>
      </w:r>
    </w:p>
    <w:p w14:paraId="7EE02F88">
      <w:pPr>
        <w:bidi w:val="0"/>
        <w:rPr>
          <w:rFonts w:hint="eastAsia"/>
          <w:lang w:val="en-US" w:eastAsia="zh-CN"/>
        </w:rPr>
      </w:pPr>
      <w:r>
        <w:rPr>
          <w:rFonts w:hint="eastAsia" w:ascii="仿宋" w:hAnsi="仿宋" w:eastAsia="仿宋" w:cs="仿宋"/>
          <w:b w:val="0"/>
          <w:bCs w:val="0"/>
          <w:color w:val="000000"/>
          <w:kern w:val="2"/>
          <w:sz w:val="24"/>
          <w:szCs w:val="24"/>
          <w:lang w:val="en-US" w:eastAsia="zh-CN" w:bidi="en-US"/>
        </w:rPr>
        <w:t>（6）</w:t>
      </w:r>
      <w:r>
        <w:rPr>
          <w:rFonts w:hint="eastAsia" w:ascii="Times New Roman" w:hAnsi="Times New Roman" w:eastAsia="仿宋" w:cs="Times New Roman"/>
          <w:color w:val="000000"/>
          <w:kern w:val="2"/>
          <w:sz w:val="24"/>
          <w:szCs w:val="22"/>
          <w:lang w:val="en-US" w:eastAsia="zh-CN" w:bidi="en-US"/>
        </w:rPr>
        <w:t>一般实验室常用仪器和设备</w:t>
      </w:r>
    </w:p>
    <w:p w14:paraId="22F7F343">
      <w:pPr>
        <w:pStyle w:val="2"/>
        <w:bidi w:val="0"/>
        <w:rPr>
          <w:rFonts w:hint="eastAsia" w:ascii="Times New Roman" w:hAnsi="Times New Roman" w:cs="Times New Roman"/>
          <w:b/>
          <w:bCs w:val="0"/>
          <w:kern w:val="2"/>
          <w:sz w:val="28"/>
          <w:szCs w:val="28"/>
          <w:lang w:val="en-US" w:eastAsia="zh-CN" w:bidi="ar-SA"/>
        </w:rPr>
      </w:pPr>
      <w:r>
        <w:rPr>
          <w:rFonts w:hint="eastAsia" w:ascii="宋体" w:hAnsi="宋体" w:eastAsia="宋体" w:cs="宋体"/>
          <w:b/>
          <w:bCs w:val="0"/>
          <w:kern w:val="2"/>
          <w:sz w:val="28"/>
          <w:szCs w:val="28"/>
          <w:lang w:val="en-US" w:eastAsia="zh-CN" w:bidi="ar-SA"/>
        </w:rPr>
        <w:t>5.5样品</w:t>
      </w:r>
    </w:p>
    <w:p w14:paraId="1F4FA123">
      <w:pPr>
        <w:pStyle w:val="23"/>
        <w:numPr>
          <w:ilvl w:val="1"/>
          <w:numId w:val="0"/>
        </w:numPr>
        <w:rPr>
          <w:rFonts w:hint="eastAsia" w:ascii="宋体" w:hAnsi="宋体" w:eastAsia="宋体" w:cs="宋体"/>
          <w:sz w:val="28"/>
          <w:szCs w:val="28"/>
        </w:rPr>
      </w:pPr>
      <w:r>
        <w:rPr>
          <w:rFonts w:hint="eastAsia" w:ascii="宋体" w:hAnsi="宋体" w:eastAsia="宋体" w:cs="宋体"/>
          <w:b/>
          <w:bCs w:val="0"/>
          <w:kern w:val="2"/>
          <w:sz w:val="28"/>
          <w:szCs w:val="28"/>
          <w:lang w:val="en-US" w:eastAsia="zh-CN" w:bidi="ar-SA"/>
        </w:rPr>
        <w:t>5.5.1样品采集与保存</w:t>
      </w:r>
    </w:p>
    <w:p w14:paraId="0B9CD169">
      <w:pPr>
        <w:bidi w:val="0"/>
        <w:rPr>
          <w:rFonts w:hint="eastAsia" w:ascii="Times New Roman" w:hAnsi="Times New Roman" w:eastAsia="宋体" w:cs="Times New Roman"/>
          <w:b/>
          <w:bCs w:val="0"/>
          <w:kern w:val="2"/>
          <w:sz w:val="28"/>
          <w:szCs w:val="28"/>
          <w:lang w:val="en-US" w:eastAsia="zh-CN" w:bidi="ar-SA"/>
        </w:rPr>
      </w:pPr>
      <w:r>
        <w:rPr>
          <w:rFonts w:hint="eastAsia" w:ascii="Times New Roman" w:hAnsi="Times New Roman" w:eastAsia="仿宋" w:cs="Times New Roman"/>
          <w:color w:val="000000"/>
          <w:kern w:val="2"/>
          <w:sz w:val="24"/>
          <w:szCs w:val="22"/>
          <w:lang w:val="en-US" w:eastAsia="zh-CN" w:bidi="en-US"/>
        </w:rPr>
        <w:t>按照HJ/T20和HJ/T298的相关规定对固体废物进行样品的采集和保存。</w:t>
      </w:r>
    </w:p>
    <w:p w14:paraId="6AA96A38">
      <w:pPr>
        <w:pStyle w:val="23"/>
        <w:numPr>
          <w:ilvl w:val="1"/>
          <w:numId w:val="0"/>
        </w:numPr>
        <w:rPr>
          <w:rFonts w:hint="eastAsia" w:ascii="Times New Roman" w:hAnsi="Times New Roman" w:eastAsia="宋体" w:cs="Times New Roman"/>
          <w:b/>
          <w:bCs w:val="0"/>
          <w:kern w:val="2"/>
          <w:sz w:val="28"/>
          <w:szCs w:val="28"/>
          <w:lang w:val="en-US" w:eastAsia="zh-CN" w:bidi="ar-SA"/>
        </w:rPr>
      </w:pPr>
      <w:r>
        <w:rPr>
          <w:rFonts w:hint="eastAsia" w:ascii="宋体" w:hAnsi="宋体" w:eastAsia="宋体" w:cs="宋体"/>
          <w:b/>
          <w:bCs w:val="0"/>
          <w:kern w:val="2"/>
          <w:sz w:val="28"/>
          <w:szCs w:val="28"/>
          <w:lang w:val="en-US" w:eastAsia="zh-CN" w:bidi="ar-SA"/>
        </w:rPr>
        <w:t>5.5.2 样品制备</w:t>
      </w:r>
    </w:p>
    <w:p w14:paraId="682D3E0B">
      <w:pPr>
        <w:pStyle w:val="23"/>
        <w:numPr>
          <w:ilvl w:val="1"/>
          <w:numId w:val="0"/>
        </w:numPr>
        <w:rPr>
          <w:rFonts w:hint="eastAsia" w:ascii="Times New Roman" w:hAnsi="Times New Roman" w:eastAsia="宋体" w:cs="Times New Roman"/>
          <w:b/>
          <w:bCs w:val="0"/>
          <w:kern w:val="2"/>
          <w:sz w:val="28"/>
          <w:szCs w:val="28"/>
          <w:lang w:val="en-US" w:eastAsia="zh-CN" w:bidi="ar-SA"/>
        </w:rPr>
      </w:pPr>
      <w:r>
        <w:rPr>
          <w:rFonts w:hint="eastAsia" w:ascii="宋体" w:hAnsi="宋体" w:eastAsia="宋体" w:cs="宋体"/>
          <w:b/>
          <w:bCs w:val="0"/>
          <w:kern w:val="2"/>
          <w:sz w:val="28"/>
          <w:szCs w:val="28"/>
          <w:lang w:val="en-US" w:eastAsia="zh-CN" w:bidi="ar-SA"/>
        </w:rPr>
        <w:t>5.5.2.1 固体废物</w:t>
      </w:r>
      <w:r>
        <w:rPr>
          <w:rFonts w:hint="eastAsia" w:hAnsi="宋体" w:cs="宋体"/>
          <w:b/>
          <w:bCs w:val="0"/>
          <w:kern w:val="2"/>
          <w:sz w:val="28"/>
          <w:szCs w:val="28"/>
          <w:lang w:val="en-US" w:eastAsia="zh-CN" w:bidi="ar-SA"/>
        </w:rPr>
        <w:t>制备</w:t>
      </w:r>
    </w:p>
    <w:p w14:paraId="79EB3685">
      <w:pPr>
        <w:bidi w:val="0"/>
        <w:rPr>
          <w:rFonts w:hint="eastAsia" w:ascii="Times New Roman" w:hAnsi="Times New Roman" w:eastAsia="仿宋" w:cs="Times New Roman"/>
          <w:color w:val="000000"/>
          <w:kern w:val="2"/>
          <w:sz w:val="24"/>
          <w:szCs w:val="22"/>
          <w:lang w:val="en-US" w:eastAsia="zh-CN" w:bidi="en-US"/>
        </w:rPr>
      </w:pPr>
      <w:r>
        <w:rPr>
          <w:rFonts w:hint="eastAsia" w:ascii="Times New Roman" w:hAnsi="Times New Roman" w:eastAsia="仿宋" w:cs="Times New Roman"/>
          <w:color w:val="000000"/>
          <w:kern w:val="2"/>
          <w:sz w:val="24"/>
          <w:szCs w:val="22"/>
          <w:lang w:val="en-US" w:eastAsia="zh-CN" w:bidi="en-US"/>
        </w:rPr>
        <w:t>按照 HJ/T 20 的相关规定进行固体废物样品的制备。对于固态废物或可干化的半固态固体废物样品，准确称取 10 g 样品(m1，精确至 0.01 g)，自然风干或冷冻干燥后，再次称重（m2，精确至 0.01 g），研磨，全部过0.15mm（100 目）尼龙筛备用。</w:t>
      </w:r>
    </w:p>
    <w:p w14:paraId="2F83CFC2">
      <w:pPr>
        <w:pStyle w:val="23"/>
        <w:numPr>
          <w:ilvl w:val="1"/>
          <w:numId w:val="0"/>
        </w:numPr>
        <w:spacing w:line="360" w:lineRule="auto"/>
        <w:rPr>
          <w:rFonts w:hint="eastAsia" w:ascii="Times New Roman" w:hAnsi="Times New Roman" w:eastAsia="宋体" w:cs="Times New Roman"/>
          <w:b/>
          <w:bCs w:val="0"/>
          <w:kern w:val="2"/>
          <w:sz w:val="28"/>
          <w:szCs w:val="28"/>
          <w:lang w:val="en-US" w:eastAsia="zh-CN" w:bidi="ar-SA"/>
        </w:rPr>
      </w:pPr>
      <w:r>
        <w:rPr>
          <w:rFonts w:hint="eastAsia" w:ascii="宋体" w:hAnsi="宋体" w:eastAsia="宋体" w:cs="宋体"/>
          <w:b/>
          <w:bCs w:val="0"/>
          <w:kern w:val="2"/>
          <w:sz w:val="28"/>
          <w:szCs w:val="28"/>
          <w:lang w:val="en-US" w:eastAsia="zh-CN" w:bidi="ar-SA"/>
        </w:rPr>
        <w:t>5.5.2.2固体废物浸出液</w:t>
      </w:r>
      <w:r>
        <w:rPr>
          <w:rFonts w:hint="eastAsia" w:hAnsi="宋体" w:cs="宋体"/>
          <w:b/>
          <w:bCs w:val="0"/>
          <w:kern w:val="2"/>
          <w:sz w:val="28"/>
          <w:szCs w:val="28"/>
          <w:lang w:val="en-US" w:eastAsia="zh-CN" w:bidi="ar-SA"/>
        </w:rPr>
        <w:t>制备</w:t>
      </w:r>
    </w:p>
    <w:p w14:paraId="76B9B263">
      <w:pPr>
        <w:spacing w:line="360" w:lineRule="auto"/>
        <w:ind w:right="181"/>
        <w:rPr>
          <w:rFonts w:ascii="宋体"/>
          <w:kern w:val="0"/>
          <w:szCs w:val="21"/>
        </w:rPr>
      </w:pPr>
      <w:r>
        <w:rPr>
          <w:rFonts w:hint="eastAsia" w:ascii="Times New Roman" w:hAnsi="Times New Roman" w:eastAsia="仿宋" w:cs="Times New Roman"/>
          <w:color w:val="000000"/>
          <w:kern w:val="2"/>
          <w:sz w:val="24"/>
          <w:szCs w:val="22"/>
          <w:lang w:val="en-US" w:eastAsia="zh-CN" w:bidi="en-US"/>
        </w:rPr>
        <w:t>按照HJ/T299、HJ/T300和HJ557的相关规定进行浸出液的制备。</w:t>
      </w:r>
    </w:p>
    <w:p w14:paraId="67EBB68B">
      <w:pPr>
        <w:pStyle w:val="2"/>
        <w:bidi w:val="0"/>
        <w:rPr>
          <w:rFonts w:hint="eastAsia" w:ascii="宋体" w:hAnsi="宋体" w:eastAsia="宋体" w:cs="宋体"/>
          <w:sz w:val="28"/>
          <w:szCs w:val="28"/>
          <w:lang w:val="en-US" w:eastAsia="zh-CN"/>
        </w:rPr>
      </w:pPr>
      <w:r>
        <w:rPr>
          <w:rFonts w:hint="eastAsia" w:ascii="宋体" w:hAnsi="宋体" w:eastAsia="宋体" w:cs="宋体"/>
          <w:b/>
          <w:bCs w:val="0"/>
          <w:kern w:val="2"/>
          <w:sz w:val="28"/>
          <w:szCs w:val="28"/>
          <w:lang w:val="en-US" w:eastAsia="zh-CN" w:bidi="ar-SA"/>
        </w:rPr>
        <w:t>5.6分析步骤</w:t>
      </w:r>
    </w:p>
    <w:p w14:paraId="37F3EE77">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称取固态样品或可干化的半固体样品， 0.05g～0.1g（精确至 0.0001 g)。将样品置于30mL聚四氟乙烯坩埚中，加入1mL盐酸、4mL硝酸、1mL氢氟酸和1mL高氯酸，将坩埚放入温控电热板上消解至白烟冒尽，取下冷却至室温，用2%硝酸溶液加热溶解，然后将溶液转移至50mL容量瓶中，用2%硝酸溶液定容至50mL，待测。</w:t>
      </w:r>
    </w:p>
    <w:p w14:paraId="0679C538">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对固体废物浸出液试样，移取固体废物浸出液25.0mL，置于150mL烧杯中，加入4 mL硝酸和1mL 盐酸，将烧杯放入温控电热板上消解至近干,呈湿盐状，取下冷却至室温，用硝酸溶液（3.6）加热溶解，然后将溶液转移至50mL容量瓶中，用2%硝酸溶液定容至50ml，待测。</w:t>
      </w:r>
    </w:p>
    <w:p w14:paraId="4585DEF1">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color w:val="000000"/>
          <w:kern w:val="2"/>
          <w:sz w:val="24"/>
          <w:szCs w:val="22"/>
          <w:lang w:val="en-US" w:eastAsia="zh-CN" w:bidi="en-US"/>
        </w:rPr>
        <w:t>用去离子水代替试样，采用与试样制备相同的步骤和试剂，制备空白试样。</w:t>
      </w:r>
    </w:p>
    <w:p w14:paraId="7D8E05EC">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开启电感耦合等离子体质谱仪，点燃等离子体，仪器预热稳定 30min。用质谱仪调谐溶液对仪器的灵敏度、氧化物和双电荷进行调谐，在仪器的灵敏度、氧化物、双电荷满足要求的条件下，质谱仪给出的调谐溶液中所含元素信号强度的相对标准偏差≤5%。涵盖待测元素的质量数范围内进行质量校正和分辨率校验后，以</w:t>
      </w:r>
      <w:r>
        <w:rPr>
          <w:rFonts w:hint="eastAsia" w:ascii="Times New Roman" w:hAnsi="Times New Roman" w:eastAsia="仿宋" w:cs="Times New Roman"/>
          <w:b w:val="0"/>
          <w:bCs w:val="0"/>
          <w:color w:val="000000"/>
          <w:kern w:val="2"/>
          <w:sz w:val="24"/>
          <w:szCs w:val="22"/>
          <w:vertAlign w:val="superscript"/>
          <w:lang w:val="en-US" w:eastAsia="zh-CN" w:bidi="en-US"/>
        </w:rPr>
        <w:t>103</w:t>
      </w:r>
      <w:r>
        <w:rPr>
          <w:rFonts w:hint="eastAsia" w:ascii="Times New Roman" w:hAnsi="Times New Roman" w:eastAsia="仿宋" w:cs="Times New Roman"/>
          <w:b w:val="0"/>
          <w:bCs w:val="0"/>
          <w:color w:val="000000"/>
          <w:kern w:val="2"/>
          <w:sz w:val="24"/>
          <w:szCs w:val="22"/>
          <w:lang w:val="en-US" w:eastAsia="zh-CN" w:bidi="en-US"/>
        </w:rPr>
        <w:t>Rh为内标</w:t>
      </w:r>
      <w:bookmarkStart w:id="4" w:name="_GoBack"/>
      <w:bookmarkEnd w:id="4"/>
      <w:r>
        <w:rPr>
          <w:rFonts w:hint="eastAsia" w:ascii="Times New Roman" w:hAnsi="Times New Roman" w:eastAsia="仿宋" w:cs="Times New Roman"/>
          <w:b w:val="0"/>
          <w:bCs w:val="0"/>
          <w:color w:val="000000"/>
          <w:kern w:val="2"/>
          <w:sz w:val="24"/>
          <w:szCs w:val="22"/>
          <w:lang w:val="en-US" w:eastAsia="zh-CN" w:bidi="en-US"/>
        </w:rPr>
        <w:t>，采用标准模式或碰撞模式或反应池模式测量空白、校正曲线和待测试样。以各元素的浓度为横坐标，以响应值和内标响应值的比值为纵坐标，建立校准曲线，当样品中待测元素浓度超出校准曲线范围时，用2%硝酸溶液稀释后再重新测定。</w:t>
      </w:r>
    </w:p>
    <w:p w14:paraId="187A46B7">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采用混合标准使用液配制成铀、钍浓度分别为 0.00μg/L、10.0μg/L、20.0μg/L、50.0μg/L、100μg/L、500μg/L的校准系列，建立校准曲线，曲线的相关系数应大于 0.999。。</w:t>
      </w:r>
    </w:p>
    <w:p w14:paraId="07D1F7C8">
      <w:pPr>
        <w:pStyle w:val="12"/>
        <w:spacing w:line="360" w:lineRule="auto"/>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按照以上试验方法，六家实验室分别对全程序空白进行6次测量，确定方法检出限。</w:t>
      </w:r>
    </w:p>
    <w:p w14:paraId="0A2DD43D">
      <w:pPr>
        <w:spacing w:line="360" w:lineRule="auto"/>
        <w:ind w:right="181" w:firstLine="480" w:firstLineChars="200"/>
        <w:jc w:val="left"/>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按照以上试验方法，六家实验室分别对固体废物样品和固体废物浸出液样品进行6次测量，计算实验室内相对标准偏差及实验室间相对标准偏差，完成方法精密度实验。</w:t>
      </w:r>
    </w:p>
    <w:p w14:paraId="6CF74CEF">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按照以上试验方法，六家实验室对固体废物有证标准物质进行6次测量，计算有证标准物质实验室内相对误差及实验室间相对误差，完成固体废物铀、钍测量正确度实验。</w:t>
      </w:r>
    </w:p>
    <w:p w14:paraId="79A862D1">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按照以上试验方法，六家实验室对固体废物浸出液加标样进行6次测量，计算实验室内加标回收率及实验室间加标回收率，完成固体废物浸出液铀、钍测量正确度实验。</w:t>
      </w:r>
    </w:p>
    <w:p w14:paraId="24F01C38">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根据固体废物中铀、钍测量结果，计算固体废物中铀-238、钍-232比活度。</w:t>
      </w:r>
    </w:p>
    <w:p w14:paraId="145C0CBB">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根据固体废物浸出液中铀、钍测量结果，计算固体废物浸出液中铀-238、钍-232活度浓度。</w:t>
      </w:r>
    </w:p>
    <w:p w14:paraId="7B1445CE">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固体废物重复分析相对偏差允许限按Yc = C × (14.37</w:t>
      </w:r>
      <m:oMath>
        <m:sSup>
          <m:sSupPr>
            <m:ctrlPr>
              <w:rPr>
                <w:rFonts w:hint="eastAsia" w:ascii="Cambria Math" w:hAnsi="Cambria Math" w:eastAsia="仿宋" w:cs="Times New Roman"/>
                <w:b w:val="0"/>
                <w:bCs w:val="0"/>
                <w:color w:val="000000"/>
                <w:kern w:val="2"/>
                <w:sz w:val="24"/>
                <w:szCs w:val="22"/>
                <w:lang w:val="en-US" w:eastAsia="zh-CN" w:bidi="en-US"/>
              </w:rPr>
            </m:ctrlPr>
          </m:sSupPr>
          <m:e>
            <m:r>
              <m:rPr>
                <m:sty m:val="p"/>
              </m:rPr>
              <w:rPr>
                <w:rFonts w:hint="eastAsia" w:ascii="Cambria Math" w:hAnsi="Cambria Math" w:eastAsia="仿宋" w:cs="Times New Roman"/>
                <w:color w:val="000000"/>
                <w:kern w:val="2"/>
                <w:sz w:val="24"/>
                <w:szCs w:val="22"/>
                <w:lang w:val="en-US" w:eastAsia="zh-CN" w:bidi="en-US"/>
              </w:rPr>
              <m:t>X</m:t>
            </m:r>
            <m:ctrlPr>
              <w:rPr>
                <w:rFonts w:hint="eastAsia" w:ascii="Cambria Math" w:hAnsi="Cambria Math" w:eastAsia="仿宋" w:cs="Times New Roman"/>
                <w:b w:val="0"/>
                <w:bCs w:val="0"/>
                <w:color w:val="000000"/>
                <w:kern w:val="2"/>
                <w:sz w:val="24"/>
                <w:szCs w:val="22"/>
                <w:lang w:val="en-US" w:eastAsia="zh-CN" w:bidi="en-US"/>
              </w:rPr>
            </m:ctrlPr>
          </m:e>
          <m:sup>
            <m:r>
              <m:rPr>
                <m:sty m:val="p"/>
              </m:rPr>
              <w:rPr>
                <w:rFonts w:hint="eastAsia" w:ascii="Cambria Math" w:hAnsi="Cambria Math" w:eastAsia="仿宋" w:cs="Times New Roman"/>
                <w:color w:val="000000"/>
                <w:kern w:val="2"/>
                <w:sz w:val="24"/>
                <w:szCs w:val="22"/>
                <w:lang w:val="en-US" w:eastAsia="zh-CN" w:bidi="en-US"/>
              </w:rPr>
              <m:t>−0.1263</m:t>
            </m:r>
            <m:ctrlPr>
              <w:rPr>
                <w:rFonts w:hint="eastAsia" w:ascii="Cambria Math" w:hAnsi="Cambria Math" w:eastAsia="仿宋" w:cs="Times New Roman"/>
                <w:b w:val="0"/>
                <w:bCs w:val="0"/>
                <w:color w:val="000000"/>
                <w:kern w:val="2"/>
                <w:sz w:val="24"/>
                <w:szCs w:val="22"/>
                <w:lang w:val="en-US" w:eastAsia="zh-CN" w:bidi="en-US"/>
              </w:rPr>
            </m:ctrlPr>
          </m:sup>
        </m:sSup>
      </m:oMath>
      <w:r>
        <w:rPr>
          <w:rFonts w:hint="eastAsia" w:ascii="Times New Roman" w:hAnsi="Times New Roman" w:eastAsia="仿宋" w:cs="Times New Roman"/>
          <w:b w:val="0"/>
          <w:bCs w:val="0"/>
          <w:color w:val="000000"/>
          <w:kern w:val="2"/>
          <w:sz w:val="24"/>
          <w:szCs w:val="22"/>
          <w:lang w:val="en-US" w:eastAsia="zh-CN" w:bidi="en-US"/>
        </w:rPr>
        <w:t>-7.659)执行。</w:t>
      </w:r>
    </w:p>
    <w:p w14:paraId="15EEFAFE">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固体废物浸出液重复分析相对偏差允许限按 Yc' = C × 11.0</w:t>
      </w:r>
      <m:oMath>
        <m:sSup>
          <m:sSupPr>
            <m:ctrlPr>
              <w:rPr>
                <w:rFonts w:hint="eastAsia" w:ascii="Cambria Math" w:hAnsi="Cambria Math" w:eastAsia="仿宋" w:cs="Times New Roman"/>
                <w:b w:val="0"/>
                <w:bCs w:val="0"/>
                <w:color w:val="000000"/>
                <w:kern w:val="2"/>
                <w:sz w:val="24"/>
                <w:szCs w:val="22"/>
                <w:lang w:val="en-US" w:eastAsia="zh-CN" w:bidi="en-US"/>
              </w:rPr>
            </m:ctrlPr>
          </m:sSupPr>
          <m:e>
            <m:r>
              <m:rPr>
                <m:sty m:val="p"/>
              </m:rPr>
              <w:rPr>
                <w:rFonts w:hint="eastAsia" w:ascii="Cambria Math" w:hAnsi="Cambria Math" w:eastAsia="仿宋" w:cs="Times New Roman"/>
                <w:color w:val="000000"/>
                <w:kern w:val="2"/>
                <w:sz w:val="24"/>
                <w:szCs w:val="22"/>
                <w:lang w:val="en-US" w:eastAsia="zh-CN" w:bidi="en-US"/>
              </w:rPr>
              <m:t>X</m:t>
            </m:r>
            <m:ctrlPr>
              <w:rPr>
                <w:rFonts w:hint="eastAsia" w:ascii="Cambria Math" w:hAnsi="Cambria Math" w:eastAsia="仿宋" w:cs="Times New Roman"/>
                <w:b w:val="0"/>
                <w:bCs w:val="0"/>
                <w:color w:val="000000"/>
                <w:kern w:val="2"/>
                <w:sz w:val="24"/>
                <w:szCs w:val="22"/>
                <w:lang w:val="en-US" w:eastAsia="zh-CN" w:bidi="en-US"/>
              </w:rPr>
            </m:ctrlPr>
          </m:e>
          <m:sup>
            <m:r>
              <m:rPr>
                <m:sty m:val="p"/>
              </m:rPr>
              <w:rPr>
                <w:rFonts w:hint="eastAsia" w:ascii="Cambria Math" w:hAnsi="Cambria Math" w:eastAsia="仿宋" w:cs="Times New Roman"/>
                <w:color w:val="000000"/>
                <w:kern w:val="2"/>
                <w:sz w:val="24"/>
                <w:szCs w:val="22"/>
                <w:lang w:val="en-US" w:eastAsia="zh-CN" w:bidi="en-US"/>
              </w:rPr>
              <m:t>−0.28</m:t>
            </m:r>
            <m:ctrlPr>
              <w:rPr>
                <w:rFonts w:hint="eastAsia" w:ascii="Cambria Math" w:hAnsi="Cambria Math" w:eastAsia="仿宋" w:cs="Times New Roman"/>
                <w:b w:val="0"/>
                <w:bCs w:val="0"/>
                <w:color w:val="000000"/>
                <w:kern w:val="2"/>
                <w:sz w:val="24"/>
                <w:szCs w:val="22"/>
                <w:lang w:val="en-US" w:eastAsia="zh-CN" w:bidi="en-US"/>
              </w:rPr>
            </m:ctrlPr>
          </m:sup>
        </m:sSup>
      </m:oMath>
      <w:r>
        <w:rPr>
          <w:rFonts w:hint="eastAsia" w:ascii="Times New Roman" w:hAnsi="Times New Roman" w:eastAsia="仿宋" w:cs="Times New Roman"/>
          <w:b w:val="0"/>
          <w:bCs w:val="0"/>
          <w:color w:val="000000"/>
          <w:kern w:val="2"/>
          <w:sz w:val="24"/>
          <w:szCs w:val="22"/>
          <w:lang w:val="en-US" w:eastAsia="zh-CN" w:bidi="en-US"/>
        </w:rPr>
        <w:t>执行。</w:t>
      </w:r>
    </w:p>
    <w:p w14:paraId="6B50AD3C">
      <w:pPr>
        <w:pStyle w:val="2"/>
        <w:bidi w:val="0"/>
        <w:rPr>
          <w:rFonts w:hint="eastAsia" w:ascii="宋体" w:hAnsi="宋体" w:cs="宋体"/>
          <w:b/>
          <w:bCs w:val="0"/>
          <w:kern w:val="2"/>
          <w:sz w:val="28"/>
          <w:szCs w:val="28"/>
          <w:lang w:val="en-US" w:eastAsia="zh-CN" w:bidi="ar-SA"/>
        </w:rPr>
      </w:pPr>
      <w:r>
        <w:rPr>
          <w:rFonts w:hint="eastAsia" w:ascii="宋体" w:hAnsi="宋体" w:eastAsia="宋体" w:cs="宋体"/>
          <w:b/>
          <w:bCs w:val="0"/>
          <w:kern w:val="2"/>
          <w:sz w:val="28"/>
          <w:szCs w:val="28"/>
          <w:lang w:val="en-US" w:eastAsia="zh-CN" w:bidi="ar-SA"/>
        </w:rPr>
        <w:t>5.</w:t>
      </w:r>
      <w:r>
        <w:rPr>
          <w:rFonts w:hint="eastAsia" w:ascii="宋体" w:hAnsi="宋体" w:cs="宋体"/>
          <w:b/>
          <w:bCs w:val="0"/>
          <w:kern w:val="2"/>
          <w:sz w:val="28"/>
          <w:szCs w:val="28"/>
          <w:lang w:val="en-US" w:eastAsia="zh-CN" w:bidi="ar-SA"/>
        </w:rPr>
        <w:t>7结果计算</w:t>
      </w:r>
    </w:p>
    <w:p w14:paraId="37BD9CC3">
      <w:pPr>
        <w:pStyle w:val="23"/>
        <w:numPr>
          <w:ilvl w:val="1"/>
          <w:numId w:val="0"/>
        </w:numPr>
        <w:spacing w:line="360" w:lineRule="auto"/>
        <w:rPr>
          <w:rFonts w:hint="eastAsia" w:ascii="宋体" w:hAnsi="宋体" w:eastAsia="宋体" w:cs="宋体"/>
          <w:b/>
          <w:bCs w:val="0"/>
          <w:kern w:val="2"/>
          <w:sz w:val="28"/>
          <w:szCs w:val="28"/>
          <w:lang w:val="en-US" w:eastAsia="zh-CN" w:bidi="ar-SA"/>
        </w:rPr>
      </w:pPr>
      <w:r>
        <w:rPr>
          <w:rFonts w:hint="eastAsia" w:ascii="宋体" w:hAnsi="宋体" w:eastAsia="宋体" w:cs="宋体"/>
          <w:b/>
          <w:bCs w:val="0"/>
          <w:kern w:val="2"/>
          <w:sz w:val="28"/>
          <w:szCs w:val="28"/>
          <w:lang w:val="en-US" w:eastAsia="zh-CN" w:bidi="ar-SA"/>
        </w:rPr>
        <w:t>5.</w:t>
      </w:r>
      <w:r>
        <w:rPr>
          <w:rFonts w:hint="eastAsia" w:hAnsi="宋体" w:cs="宋体"/>
          <w:b/>
          <w:bCs w:val="0"/>
          <w:kern w:val="2"/>
          <w:sz w:val="28"/>
          <w:szCs w:val="28"/>
          <w:lang w:val="en-US" w:eastAsia="zh-CN" w:bidi="ar-SA"/>
        </w:rPr>
        <w:t>7</w:t>
      </w:r>
      <w:r>
        <w:rPr>
          <w:rFonts w:hint="eastAsia" w:ascii="宋体" w:hAnsi="宋体" w:eastAsia="宋体" w:cs="宋体"/>
          <w:b/>
          <w:bCs w:val="0"/>
          <w:kern w:val="2"/>
          <w:sz w:val="28"/>
          <w:szCs w:val="28"/>
          <w:lang w:val="en-US" w:eastAsia="zh-CN" w:bidi="ar-SA"/>
        </w:rPr>
        <w:t>.1 固体废物测定结果的计算</w:t>
      </w:r>
    </w:p>
    <w:p w14:paraId="01F1C974">
      <w:pPr>
        <w:spacing w:line="104" w:lineRule="exact"/>
        <w:rPr>
          <w:rFonts w:eastAsia="Times New Roman"/>
          <w:sz w:val="24"/>
        </w:rPr>
      </w:pPr>
    </w:p>
    <w:p w14:paraId="68E5E8EA">
      <w:pPr>
        <w:pStyle w:val="2"/>
        <w:bidi w:val="0"/>
        <w:rPr>
          <w:rFonts w:hint="eastAsia" w:ascii="Times New Roman" w:hAnsi="Times New Roman" w:eastAsia="仿宋" w:cs="Times New Roman"/>
          <w:b w:val="0"/>
          <w:bCs w:val="0"/>
          <w:color w:val="000000"/>
          <w:kern w:val="2"/>
          <w:sz w:val="24"/>
          <w:szCs w:val="22"/>
          <w:lang w:val="en-US" w:eastAsia="zh-CN" w:bidi="en-US"/>
        </w:rPr>
      </w:pPr>
      <w:r>
        <w:rPr>
          <w:rFonts w:hint="eastAsia" w:ascii="宋体" w:hAnsi="宋体" w:eastAsia="宋体" w:cs="宋体"/>
          <w:sz w:val="28"/>
          <w:szCs w:val="28"/>
          <w:lang w:val="en-US" w:eastAsia="zh-CN"/>
        </w:rPr>
        <w:t>5.</w:t>
      </w:r>
      <w:r>
        <w:rPr>
          <w:rFonts w:hint="eastAsia" w:ascii="宋体" w:hAnsi="宋体" w:cs="宋体"/>
          <w:sz w:val="28"/>
          <w:szCs w:val="28"/>
          <w:lang w:val="en-US" w:eastAsia="zh-CN"/>
        </w:rPr>
        <w:t>7</w:t>
      </w:r>
      <w:r>
        <w:rPr>
          <w:rFonts w:hint="eastAsia" w:ascii="宋体" w:hAnsi="宋体" w:eastAsia="宋体" w:cs="宋体"/>
          <w:sz w:val="28"/>
          <w:szCs w:val="28"/>
          <w:lang w:val="en-US" w:eastAsia="zh-CN"/>
        </w:rPr>
        <w:t>.1.1固态和可干化的半固态固体废物</w:t>
      </w:r>
    </w:p>
    <w:p w14:paraId="5F01BBD5">
      <w:pPr>
        <w:spacing w:line="360" w:lineRule="auto"/>
        <w:ind w:firstLine="482" w:firstLineChars="200"/>
      </w:pPr>
      <w:r>
        <w:rPr>
          <w:rFonts w:hint="eastAsia" w:ascii="Times New Roman" w:hAnsi="Times New Roman" w:eastAsia="仿宋" w:cs="Times New Roman"/>
          <w:b/>
          <w:bCs/>
          <w:color w:val="000000"/>
          <w:kern w:val="2"/>
          <w:sz w:val="24"/>
          <w:szCs w:val="22"/>
          <w:lang w:val="en-US" w:eastAsia="zh-CN" w:bidi="en-US"/>
        </w:rPr>
        <w:t>（A）、</w:t>
      </w:r>
      <w:r>
        <w:rPr>
          <w:rFonts w:hint="eastAsia" w:ascii="Times New Roman" w:hAnsi="Times New Roman" w:eastAsia="仿宋" w:cs="Times New Roman"/>
          <w:b w:val="0"/>
          <w:bCs w:val="0"/>
          <w:color w:val="000000"/>
          <w:kern w:val="2"/>
          <w:sz w:val="24"/>
          <w:szCs w:val="22"/>
          <w:lang w:val="en-US" w:eastAsia="zh-CN" w:bidi="en-US"/>
        </w:rPr>
        <w:t>固体废物中待测元素的含量ω（mg/kg）按照公式（1）进行计算。</w:t>
      </w:r>
    </w:p>
    <w:p w14:paraId="208C7B78">
      <w:pPr>
        <w:ind w:firstLine="480" w:firstLineChars="200"/>
      </w:pPr>
    </w:p>
    <w:p w14:paraId="499E8CDB">
      <w:pPr>
        <w:ind w:firstLine="460" w:firstLineChars="200"/>
        <w:rPr>
          <w:rFonts w:hint="eastAsia" w:hAnsi="Cambria Math" w:cs="Arial"/>
          <w:sz w:val="30"/>
          <w:szCs w:val="30"/>
          <w:vertAlign w:val="superscript"/>
        </w:rPr>
      </w:pPr>
      <w:r>
        <w:rPr>
          <w:rFonts w:ascii="Arial Unicode MS" w:hAnsi="Arial Unicode MS" w:eastAsia="Arial Unicode MS" w:cs="Arial Unicode MS"/>
          <w:i/>
          <w:iCs/>
          <w:sz w:val="23"/>
          <w:szCs w:val="23"/>
        </w:rPr>
        <w:t>ω</w:t>
      </w:r>
      <w:r>
        <w:rPr>
          <w:rFonts w:hint="eastAsia" w:ascii="Arial Unicode MS" w:hAnsi="Arial Unicode MS" w:eastAsia="Arial Unicode MS" w:cs="Arial Unicode MS"/>
          <w:sz w:val="30"/>
          <w:szCs w:val="30"/>
        </w:rPr>
        <w:t xml:space="preserve">= </w:t>
      </w:r>
      <m:oMath>
        <m:f>
          <m:fPr>
            <m:ctrlPr>
              <w:rPr>
                <w:rFonts w:ascii="Cambria Math" w:hAnsi="Cambria Math" w:cs="Arial Unicode MS"/>
                <w:i/>
                <w:sz w:val="30"/>
                <w:szCs w:val="30"/>
              </w:rPr>
            </m:ctrlPr>
          </m:fPr>
          <m:num>
            <m:r>
              <m:rPr/>
              <w:rPr>
                <w:rFonts w:ascii="Cambria Math" w:hAnsi="Cambria Math" w:cs="Arial Unicode MS"/>
                <w:sz w:val="30"/>
                <w:szCs w:val="30"/>
              </w:rPr>
              <m:t>（</m:t>
            </m:r>
            <m:r>
              <m:rPr/>
              <w:rPr>
                <w:rFonts w:ascii="Cambria Math" w:hAnsi="Cambria Math" w:cs="Cambria Math"/>
                <w:sz w:val="30"/>
                <w:szCs w:val="30"/>
                <w:vertAlign w:val="subscript"/>
              </w:rPr>
              <m:t>ρ</m:t>
            </m:r>
            <m:r>
              <m:rPr/>
              <w:rPr>
                <w:rFonts w:eastAsia="Times New Roman"/>
                <w:sz w:val="30"/>
                <w:szCs w:val="30"/>
                <w:vertAlign w:val="subscript"/>
              </w:rPr>
              <m:t>x</m:t>
            </m:r>
            <m:r>
              <m:rPr/>
              <w:rPr>
                <w:rFonts w:ascii="Cambria Math" w:hAnsi="Cambria Math"/>
                <w:sz w:val="30"/>
                <w:szCs w:val="30"/>
                <w:vertAlign w:val="subscript"/>
              </w:rPr>
              <m:t>−</m:t>
            </m:r>
            <m:r>
              <m:rPr/>
              <w:rPr>
                <w:rFonts w:ascii="Cambria Math" w:hAnsi="Cambria Math" w:cs="Cambria Math"/>
                <w:sz w:val="30"/>
                <w:szCs w:val="30"/>
                <w:vertAlign w:val="subscript"/>
              </w:rPr>
              <m:t>ρo</m:t>
            </m:r>
            <m:r>
              <m:rPr>
                <m:sty m:val="p"/>
              </m:rPr>
              <w:rPr>
                <w:rFonts w:ascii="Cambria Math" w:hAnsi="Cambria Math"/>
                <w:sz w:val="30"/>
                <w:szCs w:val="30"/>
              </w:rPr>
              <m:t>）</m:t>
            </m:r>
            <m:r>
              <m:rPr>
                <m:sty m:val="p"/>
              </m:rPr>
              <w:rPr>
                <w:rFonts w:ascii="Cambria Math" w:hAnsi="Cambria Math" w:cs="Arial"/>
                <w:sz w:val="30"/>
                <w:szCs w:val="30"/>
              </w:rPr>
              <m:t>×</m:t>
            </m:r>
            <m:r>
              <m:rPr>
                <m:sty m:val="p"/>
              </m:rPr>
              <w:rPr>
                <w:rFonts w:ascii="Cambria Math" w:hAnsi="Cambria Math"/>
                <w:sz w:val="30"/>
                <w:szCs w:val="30"/>
              </w:rPr>
              <m:t xml:space="preserve">V </m:t>
            </m:r>
            <m:r>
              <m:rPr>
                <m:sty m:val="p"/>
              </m:rPr>
              <w:rPr>
                <w:rFonts w:ascii="Cambria Math" w:hAnsi="Cambria Math" w:cs="Arial"/>
                <w:sz w:val="30"/>
                <w:szCs w:val="30"/>
              </w:rPr>
              <m:t xml:space="preserve">× </m:t>
            </m:r>
            <m:r>
              <m:rPr>
                <m:sty m:val="p"/>
              </m:rPr>
              <w:rPr>
                <w:rFonts w:ascii="Cambria Math" w:hAnsi="Cambria Math"/>
                <w:sz w:val="30"/>
                <w:szCs w:val="30"/>
              </w:rPr>
              <m:t>n</m:t>
            </m:r>
            <m:ctrlPr>
              <w:rPr>
                <w:rFonts w:ascii="Cambria Math" w:hAnsi="Cambria Math" w:cs="Arial Unicode MS"/>
                <w:i/>
                <w:sz w:val="30"/>
                <w:szCs w:val="30"/>
              </w:rPr>
            </m:ctrlPr>
          </m:num>
          <m:den>
            <m:r>
              <m:rPr/>
              <w:rPr>
                <w:rFonts w:ascii="Cambria Math" w:hAnsi="Cambria Math" w:cs="Arial Unicode MS"/>
                <w:sz w:val="30"/>
                <w:szCs w:val="30"/>
              </w:rPr>
              <m:t>m</m:t>
            </m:r>
            <m:r>
              <m:rPr/>
              <w:rPr>
                <w:rFonts w:ascii="Cambria Math" w:hAnsi="Cambria Math" w:cs="Arial Unicode MS"/>
                <w:sz w:val="30"/>
                <w:szCs w:val="30"/>
                <w:vertAlign w:val="subscript"/>
              </w:rPr>
              <m:t>3</m:t>
            </m:r>
            <m:ctrlPr>
              <w:rPr>
                <w:rFonts w:ascii="Cambria Math" w:hAnsi="Cambria Math" w:cs="Arial Unicode MS"/>
                <w:i/>
                <w:sz w:val="30"/>
                <w:szCs w:val="30"/>
              </w:rPr>
            </m:ctrlPr>
          </m:den>
        </m:f>
      </m:oMath>
      <w:r>
        <w:rPr>
          <w:rFonts w:ascii="Arial" w:hAnsi="Arial" w:cs="Arial"/>
          <w:sz w:val="30"/>
          <w:szCs w:val="30"/>
        </w:rPr>
        <w:t>×</w:t>
      </w:r>
      <m:oMath>
        <m:f>
          <m:fPr>
            <m:ctrlPr>
              <w:rPr>
                <w:rFonts w:ascii="Cambria Math" w:hAnsi="Cambria Math" w:cs="Arial"/>
                <w:i/>
                <w:sz w:val="30"/>
                <w:szCs w:val="30"/>
              </w:rPr>
            </m:ctrlPr>
          </m:fPr>
          <m:num>
            <m:r>
              <m:rPr/>
              <w:rPr>
                <w:rFonts w:ascii="Cambria Math" w:hAnsi="Cambria Math" w:cs="Arial"/>
                <w:sz w:val="30"/>
                <w:szCs w:val="30"/>
              </w:rPr>
              <m:t>m2</m:t>
            </m:r>
            <m:ctrlPr>
              <w:rPr>
                <w:rFonts w:ascii="Cambria Math" w:hAnsi="Cambria Math" w:cs="Arial"/>
                <w:i/>
                <w:sz w:val="30"/>
                <w:szCs w:val="30"/>
              </w:rPr>
            </m:ctrlPr>
          </m:num>
          <m:den>
            <m:r>
              <m:rPr/>
              <w:rPr>
                <w:rFonts w:ascii="Cambria Math" w:hAnsi="Cambria Math" w:cs="Arial"/>
                <w:sz w:val="30"/>
                <w:szCs w:val="30"/>
              </w:rPr>
              <m:t>m1</m:t>
            </m:r>
            <m:ctrlPr>
              <w:rPr>
                <w:rFonts w:ascii="Cambria Math" w:hAnsi="Cambria Math" w:cs="Arial"/>
                <w:i/>
                <w:sz w:val="30"/>
                <w:szCs w:val="30"/>
              </w:rPr>
            </m:ctrlPr>
          </m:den>
        </m:f>
      </m:oMath>
      <w:r>
        <w:rPr>
          <w:rFonts w:ascii="Arial" w:hAnsi="Arial" w:cs="Arial"/>
          <w:sz w:val="30"/>
          <w:szCs w:val="30"/>
        </w:rPr>
        <w:t>×</w:t>
      </w:r>
      <w:r>
        <w:rPr>
          <w:rFonts w:hint="eastAsia" w:hAnsi="Cambria Math" w:cs="Arial"/>
          <w:sz w:val="30"/>
          <w:szCs w:val="30"/>
        </w:rPr>
        <w:t>10</w:t>
      </w:r>
      <w:r>
        <w:rPr>
          <w:rFonts w:hint="eastAsia" w:hAnsi="Cambria Math" w:cs="Arial"/>
          <w:sz w:val="30"/>
          <w:szCs w:val="30"/>
          <w:vertAlign w:val="superscript"/>
        </w:rPr>
        <w:t>-3                           (1)</w:t>
      </w:r>
    </w:p>
    <w:p w14:paraId="2D397565">
      <w:pPr>
        <w:ind w:firstLine="600" w:firstLineChars="200"/>
        <w:rPr>
          <w:rFonts w:hint="eastAsia" w:hAnsi="Cambria Math" w:cs="Arial"/>
          <w:sz w:val="30"/>
          <w:szCs w:val="30"/>
          <w:vertAlign w:val="superscript"/>
        </w:rPr>
      </w:pPr>
    </w:p>
    <w:p w14:paraId="13E2D431">
      <w:pPr>
        <w:spacing w:line="240" w:lineRule="exact"/>
        <w:jc w:val="left"/>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式中：</w:t>
      </w:r>
      <w:r>
        <w:rPr>
          <w:rFonts w:ascii="Arial Unicode MS" w:hAnsi="Arial Unicode MS" w:eastAsia="Arial Unicode MS" w:cs="Arial Unicode MS"/>
          <w:i/>
          <w:iCs/>
          <w:sz w:val="23"/>
          <w:szCs w:val="23"/>
        </w:rPr>
        <w:t>ω</w:t>
      </w:r>
      <w:r>
        <w:rPr>
          <w:rFonts w:eastAsia="Times New Roman"/>
          <w:sz w:val="20"/>
          <w:szCs w:val="20"/>
        </w:rPr>
        <w:t>—</w:t>
      </w:r>
      <w:r>
        <w:rPr>
          <w:rFonts w:hint="eastAsia" w:ascii="Times New Roman" w:hAnsi="Times New Roman" w:eastAsia="仿宋" w:cs="Times New Roman"/>
          <w:b w:val="0"/>
          <w:bCs w:val="0"/>
          <w:color w:val="000000"/>
          <w:kern w:val="2"/>
          <w:sz w:val="24"/>
          <w:szCs w:val="22"/>
          <w:lang w:val="en-US" w:eastAsia="zh-CN" w:bidi="en-US"/>
        </w:rPr>
        <w:t>固体废物中待测铀或钍元素的含量，mg/kg；</w:t>
      </w:r>
    </w:p>
    <w:p w14:paraId="6414725D">
      <w:pPr>
        <w:spacing w:line="1" w:lineRule="exact"/>
        <w:rPr>
          <w:sz w:val="20"/>
          <w:szCs w:val="20"/>
        </w:rPr>
      </w:pPr>
    </w:p>
    <w:p w14:paraId="505ACDB1">
      <w:pPr>
        <w:spacing w:line="350" w:lineRule="exact"/>
        <w:ind w:right="1964" w:firstLine="1150" w:firstLineChars="500"/>
        <w:rPr>
          <w:rFonts w:hint="eastAsia" w:ascii="Times New Roman" w:hAnsi="Times New Roman" w:eastAsia="仿宋" w:cs="Times New Roman"/>
          <w:b w:val="0"/>
          <w:bCs w:val="0"/>
          <w:color w:val="000000"/>
          <w:kern w:val="2"/>
          <w:sz w:val="24"/>
          <w:szCs w:val="22"/>
          <w:lang w:val="en-US" w:eastAsia="zh-CN" w:bidi="en-US"/>
        </w:rPr>
      </w:pPr>
      <w:r>
        <w:rPr>
          <w:rFonts w:ascii="Arial Unicode MS" w:hAnsi="Arial Unicode MS" w:eastAsia="Arial Unicode MS" w:cs="Arial Unicode MS"/>
          <w:i/>
          <w:iCs/>
          <w:sz w:val="23"/>
          <w:szCs w:val="23"/>
        </w:rPr>
        <w:t>ρ</w:t>
      </w:r>
      <w:r>
        <w:rPr>
          <w:rFonts w:eastAsia="Times New Roman"/>
          <w:i/>
          <w:iCs/>
          <w:sz w:val="27"/>
          <w:szCs w:val="27"/>
          <w:vertAlign w:val="subscript"/>
        </w:rPr>
        <w:t>x</w:t>
      </w:r>
      <w:r>
        <w:rPr>
          <w:rFonts w:eastAsia="Times New Roman"/>
          <w:szCs w:val="21"/>
        </w:rPr>
        <w:t xml:space="preserve"> —</w:t>
      </w:r>
      <w:r>
        <w:rPr>
          <w:rFonts w:hint="eastAsia" w:ascii="Times New Roman" w:hAnsi="Times New Roman" w:eastAsia="仿宋" w:cs="Times New Roman"/>
          <w:b w:val="0"/>
          <w:bCs w:val="0"/>
          <w:color w:val="000000"/>
          <w:kern w:val="2"/>
          <w:sz w:val="24"/>
          <w:szCs w:val="22"/>
          <w:lang w:val="en-US" w:eastAsia="zh-CN" w:bidi="en-US"/>
        </w:rPr>
        <w:t>由校准曲线计算测定试样中待测元素的浓度，</w:t>
      </w:r>
      <w:r>
        <w:rPr>
          <w:rFonts w:hint="default" w:ascii="Times New Roman" w:hAnsi="Times New Roman" w:eastAsia="仿宋" w:cs="Times New Roman"/>
          <w:b w:val="0"/>
          <w:bCs w:val="0"/>
          <w:color w:val="000000"/>
          <w:kern w:val="2"/>
          <w:sz w:val="24"/>
          <w:szCs w:val="22"/>
          <w:lang w:val="en-US" w:eastAsia="zh-CN" w:bidi="en-US"/>
        </w:rPr>
        <w:t>µ</w:t>
      </w:r>
      <w:r>
        <w:rPr>
          <w:rFonts w:hint="eastAsia" w:ascii="Times New Roman" w:hAnsi="Times New Roman" w:eastAsia="仿宋" w:cs="Times New Roman"/>
          <w:b w:val="0"/>
          <w:bCs w:val="0"/>
          <w:color w:val="000000"/>
          <w:kern w:val="2"/>
          <w:sz w:val="24"/>
          <w:szCs w:val="22"/>
          <w:lang w:val="en-US" w:eastAsia="zh-CN" w:bidi="en-US"/>
        </w:rPr>
        <w:t>g/L；</w:t>
      </w:r>
    </w:p>
    <w:p w14:paraId="75321C6B">
      <w:pPr>
        <w:spacing w:line="350" w:lineRule="exact"/>
        <w:ind w:right="1964" w:firstLine="1200" w:firstLineChars="500"/>
        <w:rPr>
          <w:sz w:val="20"/>
          <w:szCs w:val="20"/>
        </w:rPr>
      </w:pPr>
      <w:r>
        <w:rPr>
          <w:rFonts w:ascii="Arial Unicode MS" w:hAnsi="Arial Unicode MS" w:eastAsia="Arial Unicode MS" w:cs="Arial Unicode MS"/>
          <w:i/>
          <w:iCs/>
          <w:sz w:val="24"/>
        </w:rPr>
        <w:t>ρ</w:t>
      </w:r>
      <w:r>
        <w:rPr>
          <w:rFonts w:eastAsia="Times New Roman"/>
          <w:sz w:val="27"/>
          <w:szCs w:val="27"/>
          <w:vertAlign w:val="subscript"/>
        </w:rPr>
        <w:t>0</w:t>
      </w:r>
      <w:r>
        <w:rPr>
          <w:rFonts w:eastAsia="Times New Roman"/>
          <w:szCs w:val="21"/>
        </w:rPr>
        <w:t xml:space="preserve"> —</w:t>
      </w:r>
      <w:r>
        <w:rPr>
          <w:rFonts w:hint="eastAsia" w:ascii="Times New Roman" w:hAnsi="Times New Roman" w:eastAsia="仿宋" w:cs="Times New Roman"/>
          <w:b w:val="0"/>
          <w:bCs w:val="0"/>
          <w:color w:val="000000"/>
          <w:kern w:val="2"/>
          <w:sz w:val="24"/>
          <w:szCs w:val="22"/>
          <w:lang w:val="en-US" w:eastAsia="zh-CN" w:bidi="en-US"/>
        </w:rPr>
        <w:t>空白试样中待测元素浓度，µg/L；</w:t>
      </w:r>
    </w:p>
    <w:p w14:paraId="7BC90103">
      <w:pPr>
        <w:spacing w:line="47" w:lineRule="exact"/>
        <w:rPr>
          <w:sz w:val="20"/>
          <w:szCs w:val="20"/>
        </w:rPr>
      </w:pPr>
    </w:p>
    <w:p w14:paraId="57DC73BD">
      <w:pPr>
        <w:tabs>
          <w:tab w:val="left" w:pos="1560"/>
        </w:tabs>
        <w:spacing w:line="276" w:lineRule="exact"/>
        <w:ind w:firstLine="1200" w:firstLineChars="500"/>
        <w:jc w:val="left"/>
        <w:rPr>
          <w:rFonts w:hint="eastAsia" w:ascii="Times New Roman" w:hAnsi="Times New Roman" w:eastAsia="仿宋" w:cs="Times New Roman"/>
          <w:b w:val="0"/>
          <w:bCs w:val="0"/>
          <w:color w:val="000000"/>
          <w:kern w:val="2"/>
          <w:sz w:val="24"/>
          <w:szCs w:val="22"/>
          <w:lang w:val="en-US" w:eastAsia="zh-CN" w:bidi="en-US"/>
        </w:rPr>
      </w:pPr>
      <w:r>
        <w:rPr>
          <w:rFonts w:hint="eastAsia" w:ascii="宋体" w:hAnsi="宋体" w:cs="宋体"/>
          <w:szCs w:val="21"/>
        </w:rPr>
        <w:t>V</w:t>
      </w:r>
      <w:r>
        <w:rPr>
          <w:rFonts w:eastAsia="Times New Roman"/>
          <w:szCs w:val="21"/>
        </w:rPr>
        <w:t>—</w:t>
      </w:r>
      <w:r>
        <w:rPr>
          <w:rFonts w:hint="eastAsia" w:ascii="Times New Roman" w:hAnsi="Times New Roman" w:eastAsia="仿宋" w:cs="Times New Roman"/>
          <w:b w:val="0"/>
          <w:bCs w:val="0"/>
          <w:color w:val="000000"/>
          <w:kern w:val="2"/>
          <w:sz w:val="24"/>
          <w:szCs w:val="22"/>
          <w:lang w:val="en-US" w:eastAsia="zh-CN" w:bidi="en-US"/>
        </w:rPr>
        <w:t>消解后试样的定容体积，mL；</w:t>
      </w:r>
    </w:p>
    <w:p w14:paraId="2C095C2D">
      <w:pPr>
        <w:tabs>
          <w:tab w:val="left" w:pos="1560"/>
        </w:tabs>
        <w:spacing w:line="276" w:lineRule="exact"/>
        <w:ind w:firstLine="1200" w:firstLineChars="500"/>
        <w:jc w:val="left"/>
        <w:rPr>
          <w:rFonts w:ascii="宋体" w:hAnsi="宋体" w:cs="宋体"/>
          <w:szCs w:val="21"/>
        </w:rPr>
      </w:pPr>
      <w:r>
        <w:rPr>
          <w:rFonts w:hint="eastAsia" w:ascii="宋体" w:hAnsi="宋体" w:cs="宋体"/>
          <w:szCs w:val="21"/>
        </w:rPr>
        <w:t>n</w:t>
      </w:r>
      <w:r>
        <w:rPr>
          <w:rFonts w:eastAsia="Times New Roman"/>
          <w:szCs w:val="21"/>
        </w:rPr>
        <w:t>—</w:t>
      </w:r>
      <w:r>
        <w:rPr>
          <w:rFonts w:hint="eastAsia" w:ascii="Times New Roman" w:hAnsi="Times New Roman" w:eastAsia="仿宋" w:cs="Times New Roman"/>
          <w:b w:val="0"/>
          <w:bCs w:val="0"/>
          <w:color w:val="000000"/>
          <w:kern w:val="2"/>
          <w:sz w:val="24"/>
          <w:szCs w:val="22"/>
          <w:lang w:val="en-US" w:eastAsia="zh-CN" w:bidi="en-US"/>
        </w:rPr>
        <w:t>稀释倍数</w:t>
      </w:r>
      <w:r>
        <w:rPr>
          <w:rFonts w:hint="eastAsia"/>
          <w:szCs w:val="21"/>
        </w:rPr>
        <w:t>；</w:t>
      </w:r>
    </w:p>
    <w:p w14:paraId="778F1FF6">
      <w:pPr>
        <w:spacing w:line="29" w:lineRule="exact"/>
        <w:rPr>
          <w:sz w:val="20"/>
          <w:szCs w:val="20"/>
        </w:rPr>
      </w:pPr>
    </w:p>
    <w:p w14:paraId="776BA8D0">
      <w:pPr>
        <w:spacing w:line="311" w:lineRule="exact"/>
        <w:ind w:firstLine="1200" w:firstLineChars="500"/>
        <w:rPr>
          <w:rFonts w:hint="eastAsia" w:ascii="Times New Roman" w:hAnsi="Times New Roman" w:eastAsia="仿宋" w:cs="Times New Roman"/>
          <w:b w:val="0"/>
          <w:bCs w:val="0"/>
          <w:color w:val="000000"/>
          <w:kern w:val="2"/>
          <w:sz w:val="24"/>
          <w:szCs w:val="22"/>
          <w:lang w:val="en-US" w:eastAsia="zh-CN" w:bidi="en-US"/>
        </w:rPr>
      </w:pPr>
      <w:r>
        <w:rPr>
          <w:rFonts w:eastAsia="Times New Roman"/>
          <w:i/>
          <w:iCs/>
          <w:sz w:val="24"/>
        </w:rPr>
        <w:t>m</w:t>
      </w:r>
      <w:r>
        <w:rPr>
          <w:rFonts w:eastAsia="Times New Roman"/>
          <w:sz w:val="27"/>
          <w:szCs w:val="27"/>
          <w:vertAlign w:val="subscript"/>
        </w:rPr>
        <w:t>1</w:t>
      </w:r>
      <w:r>
        <w:rPr>
          <w:rFonts w:eastAsia="Times New Roman"/>
          <w:szCs w:val="21"/>
        </w:rPr>
        <w:t>—</w:t>
      </w:r>
      <w:r>
        <w:rPr>
          <w:rFonts w:hint="eastAsia" w:ascii="Times New Roman" w:hAnsi="Times New Roman" w:eastAsia="仿宋" w:cs="Times New Roman"/>
          <w:b w:val="0"/>
          <w:bCs w:val="0"/>
          <w:color w:val="000000"/>
          <w:kern w:val="2"/>
          <w:sz w:val="24"/>
          <w:szCs w:val="22"/>
          <w:lang w:val="en-US" w:eastAsia="zh-CN" w:bidi="en-US"/>
        </w:rPr>
        <w:t>样品的称取量，g；</w:t>
      </w:r>
    </w:p>
    <w:p w14:paraId="63B2797B">
      <w:pPr>
        <w:spacing w:line="59" w:lineRule="exact"/>
        <w:rPr>
          <w:sz w:val="20"/>
          <w:szCs w:val="20"/>
        </w:rPr>
      </w:pPr>
    </w:p>
    <w:p w14:paraId="6EDED075">
      <w:pPr>
        <w:spacing w:line="311" w:lineRule="exact"/>
        <w:ind w:firstLine="1200" w:firstLineChars="500"/>
        <w:rPr>
          <w:sz w:val="20"/>
          <w:szCs w:val="20"/>
        </w:rPr>
      </w:pPr>
      <w:r>
        <w:rPr>
          <w:rFonts w:eastAsia="Times New Roman"/>
          <w:i/>
          <w:iCs/>
          <w:sz w:val="24"/>
        </w:rPr>
        <w:t>m</w:t>
      </w:r>
      <w:r>
        <w:rPr>
          <w:rFonts w:eastAsia="Times New Roman"/>
          <w:sz w:val="27"/>
          <w:szCs w:val="27"/>
          <w:vertAlign w:val="subscript"/>
        </w:rPr>
        <w:t>2</w:t>
      </w:r>
      <w:r>
        <w:rPr>
          <w:rFonts w:eastAsia="Times New Roman"/>
          <w:szCs w:val="21"/>
        </w:rPr>
        <w:t>—</w:t>
      </w:r>
      <w:r>
        <w:rPr>
          <w:rFonts w:hint="eastAsia" w:ascii="Times New Roman" w:hAnsi="Times New Roman" w:eastAsia="仿宋" w:cs="Times New Roman"/>
          <w:b w:val="0"/>
          <w:bCs w:val="0"/>
          <w:color w:val="000000"/>
          <w:kern w:val="2"/>
          <w:sz w:val="24"/>
          <w:szCs w:val="22"/>
          <w:lang w:val="en-US" w:eastAsia="zh-CN" w:bidi="en-US"/>
        </w:rPr>
        <w:t>干燥后样品的质量，g；</w:t>
      </w:r>
    </w:p>
    <w:p w14:paraId="66BED948">
      <w:pPr>
        <w:spacing w:line="50" w:lineRule="exact"/>
        <w:rPr>
          <w:sz w:val="20"/>
          <w:szCs w:val="20"/>
        </w:rPr>
      </w:pPr>
    </w:p>
    <w:p w14:paraId="38387DE8">
      <w:pPr>
        <w:spacing w:line="311" w:lineRule="exact"/>
        <w:ind w:firstLine="1200" w:firstLineChars="500"/>
        <w:rPr>
          <w:rFonts w:ascii="宋体" w:hAnsi="宋体" w:cs="宋体"/>
          <w:szCs w:val="21"/>
        </w:rPr>
      </w:pPr>
      <w:r>
        <w:rPr>
          <w:rFonts w:eastAsia="Times New Roman"/>
          <w:i/>
          <w:iCs/>
          <w:sz w:val="24"/>
        </w:rPr>
        <w:t>m</w:t>
      </w:r>
      <w:r>
        <w:rPr>
          <w:rFonts w:eastAsia="Times New Roman"/>
          <w:sz w:val="27"/>
          <w:szCs w:val="27"/>
          <w:vertAlign w:val="subscript"/>
        </w:rPr>
        <w:t>3</w:t>
      </w:r>
      <w:r>
        <w:rPr>
          <w:rFonts w:eastAsia="Times New Roman"/>
          <w:szCs w:val="21"/>
        </w:rPr>
        <w:t>—</w:t>
      </w:r>
      <w:r>
        <w:rPr>
          <w:rFonts w:hint="eastAsia" w:ascii="Times New Roman" w:hAnsi="Times New Roman" w:eastAsia="仿宋" w:cs="Times New Roman"/>
          <w:b w:val="0"/>
          <w:bCs w:val="0"/>
          <w:color w:val="000000"/>
          <w:kern w:val="2"/>
          <w:sz w:val="24"/>
          <w:szCs w:val="22"/>
          <w:lang w:val="en-US" w:eastAsia="zh-CN" w:bidi="en-US"/>
        </w:rPr>
        <w:t>称取过筛后试样的质量，g。</w:t>
      </w:r>
    </w:p>
    <w:p w14:paraId="205A07AD">
      <w:pPr>
        <w:spacing w:line="311" w:lineRule="exact"/>
        <w:ind w:firstLine="1200" w:firstLineChars="500"/>
        <w:rPr>
          <w:rFonts w:ascii="宋体" w:hAnsi="宋体" w:cs="宋体"/>
          <w:szCs w:val="21"/>
        </w:rPr>
      </w:pPr>
    </w:p>
    <w:p w14:paraId="2B367DD9">
      <w:pPr>
        <w:tabs>
          <w:tab w:val="left" w:pos="720"/>
        </w:tabs>
        <w:spacing w:line="320" w:lineRule="exact"/>
        <w:rPr>
          <w:rFonts w:hint="eastAsia" w:ascii="仿宋" w:hAnsi="仿宋" w:eastAsia="仿宋" w:cs="仿宋"/>
          <w:sz w:val="24"/>
          <w:szCs w:val="24"/>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B）、</w:t>
      </w:r>
      <w:r>
        <w:rPr>
          <w:rFonts w:hint="eastAsia" w:ascii="仿宋" w:hAnsi="仿宋" w:eastAsia="仿宋" w:cs="仿宋"/>
          <w:sz w:val="24"/>
          <w:szCs w:val="24"/>
        </w:rPr>
        <w:t>固体废物中铀-238比活度</w:t>
      </w:r>
      <w:r>
        <w:rPr>
          <w:rFonts w:hint="eastAsia" w:ascii="仿宋" w:hAnsi="仿宋" w:eastAsia="仿宋" w:cs="仿宋"/>
          <w:i/>
          <w:iCs/>
          <w:sz w:val="24"/>
          <w:szCs w:val="24"/>
        </w:rPr>
        <w:t>Ar</w:t>
      </w:r>
      <w:r>
        <w:rPr>
          <w:rFonts w:hint="eastAsia" w:ascii="仿宋" w:hAnsi="仿宋" w:eastAsia="仿宋" w:cs="仿宋"/>
          <w:sz w:val="24"/>
          <w:szCs w:val="24"/>
        </w:rPr>
        <w:t>（Bq/kg）按照公式（2）进行计算。</w:t>
      </w:r>
    </w:p>
    <w:p w14:paraId="6C6D7D8F">
      <w:pPr>
        <w:tabs>
          <w:tab w:val="left" w:pos="720"/>
        </w:tabs>
        <w:spacing w:line="320" w:lineRule="exact"/>
        <w:ind w:firstLine="480" w:firstLineChars="200"/>
        <w:rPr>
          <w:rFonts w:ascii="宋体" w:hAnsi="宋体" w:cs="宋体"/>
          <w:szCs w:val="21"/>
        </w:rPr>
      </w:pPr>
    </w:p>
    <w:p w14:paraId="182284FC">
      <w:pPr>
        <w:tabs>
          <w:tab w:val="left" w:pos="720"/>
        </w:tabs>
        <w:spacing w:line="320" w:lineRule="exact"/>
        <w:ind w:firstLine="600" w:firstLineChars="200"/>
        <w:rPr>
          <w:rFonts w:ascii="宋体" w:hAnsi="宋体" w:cs="宋体"/>
          <w:szCs w:val="21"/>
        </w:rPr>
      </w:pPr>
      <w:r>
        <w:rPr>
          <w:rFonts w:hint="eastAsia" w:ascii="宋体" w:hAnsi="宋体" w:cs="宋体"/>
          <w:i/>
          <w:iCs/>
          <w:sz w:val="30"/>
          <w:szCs w:val="30"/>
        </w:rPr>
        <w:t>Ar = k</w:t>
      </w:r>
      <w:r>
        <w:rPr>
          <w:rFonts w:ascii="Arial" w:hAnsi="Arial" w:cs="Arial"/>
          <w:i/>
          <w:iCs/>
          <w:szCs w:val="21"/>
        </w:rPr>
        <w:t>×</w:t>
      </w:r>
      <w:r>
        <w:rPr>
          <w:rFonts w:ascii="Arial Unicode MS" w:hAnsi="Arial Unicode MS" w:eastAsia="Arial Unicode MS" w:cs="Arial Unicode MS"/>
          <w:i/>
          <w:iCs/>
          <w:sz w:val="23"/>
          <w:szCs w:val="23"/>
        </w:rPr>
        <w:t>ω</w:t>
      </w:r>
      <w:r>
        <w:rPr>
          <w:rFonts w:ascii="Arial" w:hAnsi="Arial" w:cs="Arial"/>
          <w:i/>
          <w:iCs/>
          <w:szCs w:val="21"/>
        </w:rPr>
        <w:t>×</w:t>
      </w:r>
      <w:r>
        <w:rPr>
          <w:rFonts w:hint="eastAsia" w:ascii="宋体" w:hAnsi="宋体" w:cs="宋体"/>
          <w:szCs w:val="21"/>
        </w:rPr>
        <w:t>10</w:t>
      </w:r>
      <w:r>
        <w:rPr>
          <w:rFonts w:hint="eastAsia" w:ascii="宋体" w:hAnsi="宋体" w:cs="宋体"/>
          <w:szCs w:val="21"/>
          <w:vertAlign w:val="superscript"/>
        </w:rPr>
        <w:t>-3</w:t>
      </w:r>
      <w:r>
        <w:rPr>
          <w:rFonts w:hint="eastAsia" w:ascii="宋体" w:hAnsi="宋体" w:eastAsia="宋体" w:cs="宋体"/>
          <w:szCs w:val="21"/>
          <w:vertAlign w:val="superscript"/>
          <w:lang w:val="en-US" w:eastAsia="zh-CN"/>
        </w:rPr>
        <w:t xml:space="preserve">                                                                   </w:t>
      </w:r>
      <w:r>
        <w:rPr>
          <w:rFonts w:hint="eastAsia" w:ascii="宋体" w:hAnsi="宋体" w:cs="宋体"/>
          <w:szCs w:val="21"/>
        </w:rPr>
        <w:t>(2)</w:t>
      </w:r>
    </w:p>
    <w:p w14:paraId="4F599E92">
      <w:pPr>
        <w:spacing w:line="311" w:lineRule="exact"/>
        <w:jc w:val="left"/>
        <w:rPr>
          <w:rFonts w:ascii="宋体" w:hAnsi="宋体" w:cs="宋体"/>
          <w:szCs w:val="21"/>
        </w:rPr>
      </w:pPr>
    </w:p>
    <w:p w14:paraId="02FB5BC8">
      <w:pPr>
        <w:spacing w:line="311" w:lineRule="exact"/>
        <w:jc w:val="left"/>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式中：</w:t>
      </w:r>
      <w:r>
        <w:rPr>
          <w:rFonts w:hint="eastAsia" w:ascii="宋体" w:hAnsi="宋体" w:cs="宋体"/>
          <w:i/>
          <w:iCs/>
          <w:szCs w:val="21"/>
        </w:rPr>
        <w:t>Ar</w:t>
      </w:r>
      <w:r>
        <w:rPr>
          <w:rFonts w:eastAsia="Times New Roman"/>
          <w:sz w:val="20"/>
          <w:szCs w:val="20"/>
        </w:rPr>
        <w:t>—</w:t>
      </w:r>
      <w:r>
        <w:rPr>
          <w:rFonts w:hint="eastAsia" w:ascii="Times New Roman" w:hAnsi="Times New Roman" w:eastAsia="仿宋" w:cs="Times New Roman"/>
          <w:b w:val="0"/>
          <w:bCs w:val="0"/>
          <w:color w:val="000000"/>
          <w:kern w:val="2"/>
          <w:sz w:val="24"/>
          <w:szCs w:val="22"/>
          <w:lang w:val="en-US" w:eastAsia="zh-CN" w:bidi="en-US"/>
        </w:rPr>
        <w:t>固体废物中铀-238比活度,Bq/kg；</w:t>
      </w:r>
    </w:p>
    <w:p w14:paraId="05506058">
      <w:pPr>
        <w:spacing w:line="311" w:lineRule="exact"/>
        <w:ind w:firstLine="1200" w:firstLineChars="400"/>
        <w:jc w:val="left"/>
        <w:rPr>
          <w:rFonts w:hint="eastAsia" w:ascii="宋体" w:hAnsi="宋体" w:cs="宋体"/>
          <w:szCs w:val="21"/>
        </w:rPr>
      </w:pPr>
      <w:r>
        <w:rPr>
          <w:rFonts w:hint="eastAsia" w:ascii="宋体" w:hAnsi="宋体" w:cs="宋体"/>
          <w:i/>
          <w:iCs/>
          <w:sz w:val="30"/>
          <w:szCs w:val="30"/>
        </w:rPr>
        <w:t>k</w:t>
      </w:r>
      <w:r>
        <w:rPr>
          <w:rFonts w:eastAsia="Times New Roman"/>
          <w:sz w:val="20"/>
          <w:szCs w:val="20"/>
        </w:rPr>
        <w:t>—</w:t>
      </w:r>
      <w:r>
        <w:rPr>
          <w:rFonts w:hint="eastAsia" w:ascii="Times New Roman" w:hAnsi="Times New Roman" w:eastAsia="仿宋" w:cs="Times New Roman"/>
          <w:b w:val="0"/>
          <w:bCs w:val="0"/>
          <w:color w:val="000000"/>
          <w:kern w:val="2"/>
          <w:sz w:val="24"/>
          <w:szCs w:val="22"/>
          <w:lang w:val="en-US" w:eastAsia="zh-CN" w:bidi="en-US"/>
        </w:rPr>
        <w:t>常数为</w:t>
      </w:r>
      <w:r>
        <w:rPr>
          <w:rFonts w:hint="eastAsia" w:ascii="宋体" w:hAnsi="宋体" w:cs="宋体"/>
          <w:szCs w:val="21"/>
        </w:rPr>
        <w:t xml:space="preserve">12.24 </w:t>
      </w:r>
      <w:r>
        <w:rPr>
          <w:rFonts w:ascii="Arial" w:hAnsi="Arial" w:cs="Arial"/>
          <w:szCs w:val="21"/>
        </w:rPr>
        <w:t>×</w:t>
      </w:r>
      <w:r>
        <w:rPr>
          <w:rFonts w:hint="eastAsia" w:ascii="宋体" w:hAnsi="宋体" w:cs="宋体"/>
          <w:szCs w:val="21"/>
        </w:rPr>
        <w:t>10</w:t>
      </w:r>
      <w:r>
        <w:rPr>
          <w:rFonts w:hint="eastAsia" w:ascii="宋体" w:hAnsi="宋体" w:cs="宋体"/>
          <w:szCs w:val="21"/>
          <w:vertAlign w:val="superscript"/>
        </w:rPr>
        <w:t>3</w:t>
      </w:r>
      <w:r>
        <w:rPr>
          <w:rFonts w:hint="eastAsia" w:ascii="宋体" w:hAnsi="宋体" w:cs="宋体"/>
          <w:szCs w:val="21"/>
        </w:rPr>
        <w:t>。</w:t>
      </w:r>
    </w:p>
    <w:p w14:paraId="1457E103">
      <w:pPr>
        <w:spacing w:line="311" w:lineRule="exact"/>
        <w:jc w:val="left"/>
        <w:rPr>
          <w:rFonts w:hint="eastAsia" w:ascii="宋体" w:hAnsi="宋体" w:cs="宋体"/>
          <w:szCs w:val="21"/>
        </w:rPr>
      </w:pPr>
    </w:p>
    <w:p w14:paraId="241026E8">
      <w:pPr>
        <w:tabs>
          <w:tab w:val="left" w:pos="720"/>
        </w:tabs>
        <w:spacing w:line="320" w:lineRule="exact"/>
        <w:rPr>
          <w:rFonts w:hint="eastAsia" w:ascii="仿宋" w:hAnsi="仿宋" w:eastAsia="仿宋" w:cs="仿宋"/>
          <w:sz w:val="24"/>
          <w:szCs w:val="24"/>
        </w:rPr>
      </w:pPr>
      <w:r>
        <w:rPr>
          <w:rFonts w:hint="eastAsia" w:ascii="仿宋" w:hAnsi="仿宋" w:eastAsia="仿宋" w:cs="仿宋"/>
          <w:b/>
          <w:bCs/>
          <w:sz w:val="24"/>
          <w:szCs w:val="24"/>
          <w:lang w:val="en-US" w:eastAsia="zh-CN"/>
        </w:rPr>
        <w:t>(C)、</w:t>
      </w:r>
      <w:r>
        <w:rPr>
          <w:rFonts w:hint="eastAsia" w:ascii="仿宋" w:hAnsi="仿宋" w:eastAsia="仿宋" w:cs="仿宋"/>
          <w:sz w:val="24"/>
          <w:szCs w:val="24"/>
        </w:rPr>
        <w:t>固体废物中钍-232比活度</w:t>
      </w:r>
      <w:r>
        <w:rPr>
          <w:rFonts w:hint="eastAsia" w:ascii="仿宋" w:hAnsi="仿宋" w:eastAsia="仿宋" w:cs="仿宋"/>
          <w:i/>
          <w:iCs/>
          <w:sz w:val="24"/>
          <w:szCs w:val="24"/>
        </w:rPr>
        <w:t>Ar</w:t>
      </w:r>
      <w:r>
        <w:rPr>
          <w:rFonts w:hint="eastAsia" w:ascii="仿宋" w:hAnsi="仿宋" w:eastAsia="仿宋" w:cs="仿宋"/>
          <w:sz w:val="24"/>
          <w:szCs w:val="24"/>
        </w:rPr>
        <w:t>（Bq/kg）按照公式（3）进行计算。</w:t>
      </w:r>
    </w:p>
    <w:p w14:paraId="456FB7E3">
      <w:pPr>
        <w:tabs>
          <w:tab w:val="left" w:pos="720"/>
        </w:tabs>
        <w:spacing w:line="320" w:lineRule="exact"/>
        <w:rPr>
          <w:rFonts w:ascii="宋体" w:hAnsi="宋体" w:cs="宋体"/>
          <w:szCs w:val="21"/>
        </w:rPr>
      </w:pPr>
    </w:p>
    <w:p w14:paraId="79908FA6">
      <w:pPr>
        <w:tabs>
          <w:tab w:val="left" w:pos="720"/>
        </w:tabs>
        <w:spacing w:line="320" w:lineRule="exact"/>
        <w:ind w:firstLine="600" w:firstLineChars="200"/>
        <w:rPr>
          <w:rFonts w:ascii="宋体" w:hAnsi="宋体" w:cs="宋体"/>
          <w:szCs w:val="21"/>
        </w:rPr>
      </w:pPr>
      <w:r>
        <w:rPr>
          <w:rFonts w:hint="eastAsia" w:ascii="宋体" w:hAnsi="宋体" w:cs="宋体"/>
          <w:i/>
          <w:iCs/>
          <w:sz w:val="30"/>
          <w:szCs w:val="30"/>
        </w:rPr>
        <w:t>Ar = k</w:t>
      </w:r>
      <w:r>
        <w:rPr>
          <w:rFonts w:ascii="Arial" w:hAnsi="Arial" w:cs="Arial"/>
          <w:i/>
          <w:iCs/>
          <w:szCs w:val="21"/>
        </w:rPr>
        <w:t>×</w:t>
      </w:r>
      <w:r>
        <w:rPr>
          <w:rFonts w:ascii="Arial Unicode MS" w:hAnsi="Arial Unicode MS" w:eastAsia="Arial Unicode MS" w:cs="Arial Unicode MS"/>
          <w:i/>
          <w:iCs/>
          <w:sz w:val="23"/>
          <w:szCs w:val="23"/>
        </w:rPr>
        <w:t>ω</w:t>
      </w:r>
      <w:r>
        <w:rPr>
          <w:rFonts w:ascii="Arial" w:hAnsi="Arial" w:cs="Arial"/>
          <w:i/>
          <w:iCs/>
          <w:szCs w:val="21"/>
        </w:rPr>
        <w:t>×</w:t>
      </w:r>
      <w:r>
        <w:rPr>
          <w:rFonts w:hint="eastAsia" w:ascii="宋体" w:hAnsi="宋体" w:cs="宋体"/>
          <w:szCs w:val="21"/>
        </w:rPr>
        <w:t>10</w:t>
      </w:r>
      <w:r>
        <w:rPr>
          <w:rFonts w:hint="eastAsia" w:ascii="宋体" w:hAnsi="宋体" w:cs="宋体"/>
          <w:szCs w:val="21"/>
          <w:vertAlign w:val="superscript"/>
        </w:rPr>
        <w:t>-3</w:t>
      </w:r>
      <w:r>
        <w:rPr>
          <w:rFonts w:hint="eastAsia" w:ascii="宋体" w:hAnsi="宋体" w:eastAsia="宋体" w:cs="宋体"/>
          <w:szCs w:val="21"/>
          <w:vertAlign w:val="superscript"/>
          <w:lang w:val="en-US" w:eastAsia="zh-CN"/>
        </w:rPr>
        <w:t xml:space="preserve">                                                                  </w:t>
      </w:r>
      <w:r>
        <w:rPr>
          <w:rFonts w:hint="eastAsia" w:ascii="宋体" w:hAnsi="宋体" w:cs="宋体"/>
          <w:szCs w:val="21"/>
        </w:rPr>
        <w:t>(3)</w:t>
      </w:r>
    </w:p>
    <w:p w14:paraId="34BD688A">
      <w:pPr>
        <w:spacing w:line="311" w:lineRule="exact"/>
        <w:jc w:val="left"/>
        <w:rPr>
          <w:rFonts w:ascii="宋体" w:hAnsi="宋体" w:cs="宋体"/>
          <w:szCs w:val="21"/>
        </w:rPr>
      </w:pPr>
    </w:p>
    <w:p w14:paraId="7F448377">
      <w:pPr>
        <w:spacing w:line="311" w:lineRule="exact"/>
        <w:jc w:val="left"/>
        <w:rPr>
          <w:szCs w:val="21"/>
        </w:rPr>
      </w:pPr>
      <w:r>
        <w:rPr>
          <w:rFonts w:hint="eastAsia" w:ascii="Times New Roman" w:hAnsi="Times New Roman" w:eastAsia="仿宋" w:cs="Times New Roman"/>
          <w:b w:val="0"/>
          <w:bCs w:val="0"/>
          <w:color w:val="000000"/>
          <w:kern w:val="2"/>
          <w:sz w:val="24"/>
          <w:szCs w:val="22"/>
          <w:lang w:val="en-US" w:eastAsia="zh-CN" w:bidi="en-US"/>
        </w:rPr>
        <w:t>式中：</w:t>
      </w:r>
      <w:r>
        <w:rPr>
          <w:rFonts w:hint="eastAsia" w:ascii="宋体" w:hAnsi="宋体" w:cs="宋体"/>
          <w:i/>
          <w:iCs/>
          <w:szCs w:val="21"/>
        </w:rPr>
        <w:t>Ar</w:t>
      </w:r>
      <w:r>
        <w:rPr>
          <w:rFonts w:eastAsia="Times New Roman"/>
          <w:sz w:val="20"/>
          <w:szCs w:val="20"/>
        </w:rPr>
        <w:t>—</w:t>
      </w:r>
      <w:r>
        <w:rPr>
          <w:rFonts w:hint="eastAsia" w:ascii="Times New Roman" w:hAnsi="Times New Roman" w:eastAsia="仿宋" w:cs="Times New Roman"/>
          <w:b w:val="0"/>
          <w:bCs w:val="0"/>
          <w:color w:val="000000"/>
          <w:kern w:val="2"/>
          <w:sz w:val="24"/>
          <w:szCs w:val="22"/>
          <w:lang w:val="en-US" w:eastAsia="zh-CN" w:bidi="en-US"/>
        </w:rPr>
        <w:t>固体废物中钍-232比活度,Bq/kg</w:t>
      </w:r>
      <w:r>
        <w:rPr>
          <w:rFonts w:hint="eastAsia"/>
          <w:szCs w:val="21"/>
        </w:rPr>
        <w:t>；</w:t>
      </w:r>
    </w:p>
    <w:p w14:paraId="6154AD2D">
      <w:pPr>
        <w:ind w:firstLine="1200" w:firstLineChars="400"/>
        <w:jc w:val="left"/>
        <w:rPr>
          <w:rFonts w:ascii="宋体" w:hAnsi="宋体" w:cs="宋体"/>
          <w:szCs w:val="21"/>
        </w:rPr>
      </w:pPr>
      <w:r>
        <w:rPr>
          <w:rFonts w:hint="eastAsia" w:ascii="宋体" w:hAnsi="宋体" w:cs="宋体"/>
          <w:i/>
          <w:iCs/>
          <w:sz w:val="30"/>
          <w:szCs w:val="30"/>
        </w:rPr>
        <w:t>k</w:t>
      </w:r>
      <w:r>
        <w:rPr>
          <w:rFonts w:eastAsia="Times New Roman"/>
          <w:sz w:val="20"/>
          <w:szCs w:val="20"/>
        </w:rPr>
        <w:t>—</w:t>
      </w:r>
      <w:r>
        <w:rPr>
          <w:rFonts w:hint="eastAsia" w:ascii="Times New Roman" w:hAnsi="Times New Roman" w:eastAsia="仿宋" w:cs="Times New Roman"/>
          <w:b w:val="0"/>
          <w:bCs w:val="0"/>
          <w:color w:val="000000"/>
          <w:kern w:val="2"/>
          <w:sz w:val="24"/>
          <w:szCs w:val="22"/>
          <w:lang w:val="en-US" w:eastAsia="zh-CN" w:bidi="en-US"/>
        </w:rPr>
        <w:t>常数为</w:t>
      </w:r>
      <w:r>
        <w:rPr>
          <w:rFonts w:hint="eastAsia" w:ascii="宋体" w:hAnsi="宋体" w:cs="宋体"/>
          <w:szCs w:val="21"/>
        </w:rPr>
        <w:t>4.075</w:t>
      </w:r>
      <w:r>
        <w:rPr>
          <w:rFonts w:ascii="Arial" w:hAnsi="Arial" w:cs="Arial"/>
          <w:szCs w:val="21"/>
        </w:rPr>
        <w:t>×</w:t>
      </w:r>
      <w:r>
        <w:rPr>
          <w:rFonts w:hint="eastAsia" w:ascii="宋体" w:hAnsi="宋体" w:cs="宋体"/>
          <w:szCs w:val="21"/>
        </w:rPr>
        <w:t>10</w:t>
      </w:r>
      <w:r>
        <w:rPr>
          <w:rFonts w:hint="eastAsia" w:ascii="宋体" w:hAnsi="宋体" w:cs="宋体"/>
          <w:szCs w:val="21"/>
          <w:vertAlign w:val="superscript"/>
        </w:rPr>
        <w:t>3</w:t>
      </w:r>
      <w:r>
        <w:rPr>
          <w:rFonts w:hint="eastAsia" w:ascii="宋体" w:hAnsi="宋体" w:cs="宋体"/>
          <w:szCs w:val="21"/>
        </w:rPr>
        <w:t>。</w:t>
      </w:r>
    </w:p>
    <w:p w14:paraId="247987F5">
      <w:pPr>
        <w:jc w:val="left"/>
        <w:rPr>
          <w:rFonts w:ascii="宋体" w:hAnsi="宋体" w:cs="宋体"/>
          <w:szCs w:val="21"/>
        </w:rPr>
      </w:pPr>
      <w:r>
        <w:rPr>
          <w:rFonts w:hint="eastAsia" w:ascii="Times New Roman" w:hAnsi="Times New Roman" w:eastAsia="仿宋" w:cs="Times New Roman"/>
          <w:b w:val="0"/>
          <w:bCs w:val="0"/>
          <w:color w:val="000000"/>
          <w:kern w:val="2"/>
          <w:sz w:val="24"/>
          <w:szCs w:val="22"/>
          <w:lang w:val="en-US" w:eastAsia="zh-CN" w:bidi="en-US"/>
        </w:rPr>
        <w:t>常数</w:t>
      </w:r>
      <w:r>
        <w:rPr>
          <w:rFonts w:hint="eastAsia" w:ascii="宋体" w:hAnsi="宋体" w:cs="宋体"/>
          <w:i/>
          <w:iCs/>
          <w:sz w:val="24"/>
        </w:rPr>
        <w:t>k</w:t>
      </w:r>
      <w:r>
        <w:rPr>
          <w:rFonts w:hint="eastAsia" w:ascii="Times New Roman" w:hAnsi="Times New Roman" w:eastAsia="仿宋" w:cs="Times New Roman"/>
          <w:b w:val="0"/>
          <w:bCs w:val="0"/>
          <w:color w:val="000000"/>
          <w:kern w:val="2"/>
          <w:sz w:val="24"/>
          <w:szCs w:val="22"/>
          <w:lang w:val="en-US" w:eastAsia="zh-CN" w:bidi="en-US"/>
        </w:rPr>
        <w:t>按公式（4）求出。</w:t>
      </w:r>
    </w:p>
    <w:p w14:paraId="0A95A6A9">
      <w:pPr>
        <w:jc w:val="left"/>
        <w:rPr>
          <w:rFonts w:ascii="宋体" w:hAnsi="宋体" w:cs="宋体"/>
          <w:szCs w:val="21"/>
        </w:rPr>
      </w:pPr>
      <w:r>
        <w:rPr>
          <w:rFonts w:hint="eastAsia" w:ascii="宋体" w:hAnsi="宋体" w:cs="宋体"/>
          <w:i/>
          <w:iCs/>
          <w:sz w:val="32"/>
          <w:szCs w:val="32"/>
        </w:rPr>
        <w:t xml:space="preserve">K= </w:t>
      </w:r>
      <m:oMath>
        <m:f>
          <m:fPr>
            <m:ctrlPr>
              <w:rPr>
                <w:rFonts w:ascii="Cambria Math" w:hAnsi="Cambria Math" w:cs="宋体"/>
                <w:i/>
                <w:iCs/>
                <w:sz w:val="36"/>
                <w:szCs w:val="36"/>
              </w:rPr>
            </m:ctrlPr>
          </m:fPr>
          <m:num>
            <m:r>
              <m:rPr/>
              <w:rPr>
                <w:rFonts w:ascii="Cambria Math" w:hAnsi="Cambria Math" w:cs="宋体"/>
                <w:sz w:val="36"/>
                <w:szCs w:val="36"/>
              </w:rPr>
              <m:t>ln2</m:t>
            </m:r>
            <m:r>
              <m:rPr/>
              <w:rPr>
                <w:rFonts w:ascii="Cambria Math" w:hAnsi="Cambria Math" w:cs="Arial"/>
                <w:sz w:val="36"/>
                <w:szCs w:val="36"/>
              </w:rPr>
              <m:t>×</m:t>
            </m:r>
            <m:sSub>
              <m:sSubPr>
                <m:ctrlPr>
                  <w:rPr>
                    <w:rFonts w:ascii="Cambria Math" w:hAnsi="Cambria Math" w:cs="宋体"/>
                    <w:i/>
                    <w:iCs/>
                    <w:sz w:val="36"/>
                    <w:szCs w:val="36"/>
                  </w:rPr>
                </m:ctrlPr>
              </m:sSubPr>
              <m:e>
                <m:r>
                  <m:rPr/>
                  <w:rPr>
                    <w:rFonts w:ascii="Cambria Math" w:hAnsi="Cambria Math" w:cs="宋体"/>
                    <w:sz w:val="36"/>
                    <w:szCs w:val="36"/>
                  </w:rPr>
                  <m:t>N</m:t>
                </m:r>
                <m:ctrlPr>
                  <w:rPr>
                    <w:rFonts w:ascii="Cambria Math" w:hAnsi="Cambria Math" w:cs="宋体"/>
                    <w:i/>
                    <w:iCs/>
                    <w:sz w:val="36"/>
                    <w:szCs w:val="36"/>
                  </w:rPr>
                </m:ctrlPr>
              </m:e>
              <m:sub>
                <m:r>
                  <m:rPr/>
                  <w:rPr>
                    <w:rFonts w:ascii="Cambria Math" w:hAnsi="Cambria Math" w:cs="宋体"/>
                    <w:sz w:val="36"/>
                    <w:szCs w:val="36"/>
                  </w:rPr>
                  <m:t>A</m:t>
                </m:r>
                <m:ctrlPr>
                  <w:rPr>
                    <w:rFonts w:ascii="Cambria Math" w:hAnsi="Cambria Math" w:cs="宋体"/>
                    <w:i/>
                    <w:iCs/>
                    <w:sz w:val="36"/>
                    <w:szCs w:val="36"/>
                  </w:rPr>
                </m:ctrlPr>
              </m:sub>
            </m:sSub>
            <m:r>
              <m:rPr/>
              <w:rPr>
                <w:rFonts w:ascii="Cambria Math" w:hAnsi="Cambria Math" w:cs="Arial"/>
                <w:sz w:val="36"/>
                <w:szCs w:val="36"/>
              </w:rPr>
              <m:t>×</m:t>
            </m:r>
            <m:r>
              <m:rPr/>
              <w:rPr>
                <w:rFonts w:ascii="Cambria Math" w:hAnsi="Cambria Math" w:cs="宋体"/>
                <w:sz w:val="36"/>
                <w:szCs w:val="36"/>
              </w:rPr>
              <m:t>f</m:t>
            </m:r>
            <m:ctrlPr>
              <w:rPr>
                <w:rFonts w:ascii="Cambria Math" w:hAnsi="Cambria Math" w:cs="宋体"/>
                <w:i/>
                <w:iCs/>
                <w:sz w:val="36"/>
                <w:szCs w:val="36"/>
              </w:rPr>
            </m:ctrlPr>
          </m:num>
          <m:den>
            <m:r>
              <m:rPr/>
              <w:rPr>
                <w:rFonts w:ascii="Cambria Math" w:hAnsi="Cambria Math" w:cs="宋体"/>
                <w:sz w:val="36"/>
                <w:szCs w:val="36"/>
              </w:rPr>
              <m:t>M</m:t>
            </m:r>
            <m:r>
              <m:rPr/>
              <w:rPr>
                <w:rFonts w:ascii="Cambria Math" w:hAnsi="Cambria Math" w:cs="Arial"/>
                <w:sz w:val="36"/>
                <w:szCs w:val="36"/>
              </w:rPr>
              <m:t>×</m:t>
            </m:r>
            <m:sSub>
              <m:sSubPr>
                <m:ctrlPr>
                  <w:rPr>
                    <w:rFonts w:ascii="Cambria Math" w:hAnsi="Cambria Math" w:cs="宋体"/>
                    <w:i/>
                    <w:iCs/>
                    <w:sz w:val="36"/>
                    <w:szCs w:val="36"/>
                  </w:rPr>
                </m:ctrlPr>
              </m:sSubPr>
              <m:e>
                <m:r>
                  <m:rPr/>
                  <w:rPr>
                    <w:rFonts w:ascii="Cambria Math" w:hAnsi="Cambria Math" w:cs="宋体"/>
                    <w:sz w:val="36"/>
                    <w:szCs w:val="36"/>
                  </w:rPr>
                  <m:t>T</m:t>
                </m:r>
                <m:ctrlPr>
                  <w:rPr>
                    <w:rFonts w:ascii="Cambria Math" w:hAnsi="Cambria Math" w:cs="宋体"/>
                    <w:i/>
                    <w:iCs/>
                    <w:sz w:val="36"/>
                    <w:szCs w:val="36"/>
                  </w:rPr>
                </m:ctrlPr>
              </m:e>
              <m:sub>
                <m:r>
                  <m:rPr/>
                  <w:rPr>
                    <w:rFonts w:ascii="Cambria Math" w:hAnsi="Cambria Math" w:cs="宋体"/>
                    <w:sz w:val="36"/>
                    <w:szCs w:val="36"/>
                  </w:rPr>
                  <m:t>1/2</m:t>
                </m:r>
                <m:ctrlPr>
                  <w:rPr>
                    <w:rFonts w:ascii="Cambria Math" w:hAnsi="Cambria Math" w:cs="宋体"/>
                    <w:i/>
                    <w:iCs/>
                    <w:sz w:val="36"/>
                    <w:szCs w:val="36"/>
                  </w:rPr>
                </m:ctrlPr>
              </m:sub>
            </m:sSub>
            <m:r>
              <m:rPr/>
              <w:rPr>
                <w:rFonts w:ascii="Cambria Math" w:hAnsi="Cambria Math" w:cs="Arial"/>
                <w:sz w:val="36"/>
                <w:szCs w:val="36"/>
              </w:rPr>
              <m:t>×</m:t>
            </m:r>
            <m:r>
              <m:rPr/>
              <w:rPr>
                <w:rFonts w:ascii="Cambria Math" w:hAnsi="Cambria Math" w:cs="Cambria Math"/>
                <w:sz w:val="36"/>
                <w:szCs w:val="36"/>
              </w:rPr>
              <m:t>ƞ</m:t>
            </m:r>
            <m:ctrlPr>
              <w:rPr>
                <w:rFonts w:ascii="Cambria Math" w:hAnsi="Cambria Math" w:cs="宋体"/>
                <w:i/>
                <w:iCs/>
                <w:sz w:val="36"/>
                <w:szCs w:val="36"/>
              </w:rPr>
            </m:ctrlPr>
          </m:den>
        </m:f>
      </m:oMath>
      <w:r>
        <w:rPr>
          <w:rFonts w:hint="eastAsia" w:hAnsi="Cambria Math" w:eastAsia="宋体" w:cs="宋体"/>
          <w:i/>
          <w:iCs/>
          <w:sz w:val="36"/>
          <w:szCs w:val="36"/>
          <w:lang w:val="en-US" w:eastAsia="zh-CN"/>
        </w:rPr>
        <w:t xml:space="preserve">                      </w:t>
      </w:r>
      <w:r>
        <w:rPr>
          <w:rFonts w:hint="eastAsia" w:ascii="宋体" w:hAnsi="宋体" w:cs="宋体"/>
          <w:szCs w:val="21"/>
        </w:rPr>
        <w:t>(4)</w:t>
      </w:r>
    </w:p>
    <w:p w14:paraId="577332C6">
      <w:pPr>
        <w:jc w:val="left"/>
        <w:rPr>
          <w:rFonts w:ascii="宋体" w:hAnsi="宋体" w:cs="宋体"/>
          <w:szCs w:val="21"/>
        </w:rPr>
      </w:pPr>
    </w:p>
    <w:p w14:paraId="2861999A">
      <w:pPr>
        <w:spacing w:line="240" w:lineRule="exact"/>
        <w:jc w:val="left"/>
        <w:rPr>
          <w:sz w:val="20"/>
          <w:szCs w:val="20"/>
        </w:rPr>
      </w:pPr>
      <w:r>
        <w:rPr>
          <w:rFonts w:hint="eastAsia" w:ascii="Times New Roman" w:hAnsi="Times New Roman" w:eastAsia="仿宋" w:cs="Times New Roman"/>
          <w:b w:val="0"/>
          <w:bCs w:val="0"/>
          <w:color w:val="000000"/>
          <w:kern w:val="2"/>
          <w:sz w:val="24"/>
          <w:szCs w:val="22"/>
          <w:lang w:val="en-US" w:eastAsia="zh-CN" w:bidi="en-US"/>
        </w:rPr>
        <w:t>式中：</w:t>
      </w:r>
      <m:oMath>
        <m:sSub>
          <m:sSubPr>
            <m:ctrlPr>
              <w:rPr>
                <w:rFonts w:ascii="Cambria Math" w:hAnsi="Cambria Math" w:cs="宋体"/>
                <w:i/>
                <w:iCs/>
                <w:sz w:val="28"/>
                <w:szCs w:val="28"/>
              </w:rPr>
            </m:ctrlPr>
          </m:sSubPr>
          <m:e>
            <m:r>
              <m:rPr/>
              <w:rPr>
                <w:rFonts w:ascii="Cambria Math" w:hAnsi="Cambria Math" w:cs="宋体"/>
                <w:sz w:val="28"/>
                <w:szCs w:val="28"/>
              </w:rPr>
              <m:t>N</m:t>
            </m:r>
            <m:ctrlPr>
              <w:rPr>
                <w:rFonts w:ascii="Cambria Math" w:hAnsi="Cambria Math" w:cs="宋体"/>
                <w:i/>
                <w:iCs/>
                <w:sz w:val="28"/>
                <w:szCs w:val="28"/>
              </w:rPr>
            </m:ctrlPr>
          </m:e>
          <m:sub>
            <m:r>
              <m:rPr/>
              <w:rPr>
                <w:rFonts w:ascii="Cambria Math" w:hAnsi="Cambria Math" w:cs="宋体"/>
                <w:sz w:val="28"/>
                <w:szCs w:val="28"/>
              </w:rPr>
              <m:t>A</m:t>
            </m:r>
            <m:ctrlPr>
              <w:rPr>
                <w:rFonts w:ascii="Cambria Math" w:hAnsi="Cambria Math" w:cs="宋体"/>
                <w:i/>
                <w:iCs/>
                <w:sz w:val="28"/>
                <w:szCs w:val="28"/>
              </w:rPr>
            </m:ctrlPr>
          </m:sub>
        </m:sSub>
      </m:oMath>
      <w:r>
        <w:rPr>
          <w:rFonts w:eastAsia="Times New Roman"/>
          <w:sz w:val="20"/>
          <w:szCs w:val="20"/>
        </w:rPr>
        <w:t>—</w:t>
      </w:r>
      <w:r>
        <w:rPr>
          <w:rFonts w:hint="eastAsia" w:ascii="Times New Roman" w:hAnsi="Times New Roman" w:eastAsia="仿宋" w:cs="Times New Roman"/>
          <w:b w:val="0"/>
          <w:bCs w:val="0"/>
          <w:color w:val="000000"/>
          <w:kern w:val="2"/>
          <w:sz w:val="24"/>
          <w:szCs w:val="22"/>
          <w:lang w:val="en-US" w:eastAsia="zh-CN" w:bidi="en-US"/>
        </w:rPr>
        <w:t>阿伏伽德罗常数；</w:t>
      </w:r>
    </w:p>
    <w:p w14:paraId="533C48CA">
      <w:pPr>
        <w:spacing w:line="1" w:lineRule="exact"/>
        <w:rPr>
          <w:sz w:val="20"/>
          <w:szCs w:val="20"/>
        </w:rPr>
      </w:pPr>
    </w:p>
    <w:p w14:paraId="63BDAF49">
      <w:pPr>
        <w:spacing w:line="350" w:lineRule="exact"/>
        <w:ind w:right="1964" w:firstLine="1200" w:firstLineChars="500"/>
        <w:jc w:val="left"/>
        <w:rPr>
          <w:rFonts w:ascii="宋体" w:hAnsi="宋体" w:cs="宋体"/>
          <w:szCs w:val="21"/>
        </w:rPr>
      </w:pPr>
      <m:oMath>
        <m:r>
          <m:rPr/>
          <w:rPr>
            <w:rFonts w:ascii="Cambria Math" w:hAnsi="Cambria Math" w:cs="宋体"/>
            <w:sz w:val="24"/>
          </w:rPr>
          <m:t>f</m:t>
        </m:r>
      </m:oMath>
      <w:r>
        <w:rPr>
          <w:rFonts w:eastAsia="Times New Roman"/>
          <w:szCs w:val="21"/>
        </w:rPr>
        <w:t>—</w:t>
      </w:r>
      <w:r>
        <w:rPr>
          <w:rFonts w:hint="eastAsia"/>
          <w:szCs w:val="21"/>
          <w:vertAlign w:val="superscript"/>
        </w:rPr>
        <w:t>238</w:t>
      </w:r>
      <w:r>
        <w:rPr>
          <w:rFonts w:hint="eastAsia"/>
          <w:szCs w:val="21"/>
        </w:rPr>
        <w:t>U</w:t>
      </w:r>
      <w:r>
        <w:rPr>
          <w:rFonts w:hint="eastAsia" w:eastAsia="宋体"/>
          <w:szCs w:val="21"/>
          <w:lang w:eastAsia="zh-CN"/>
        </w:rPr>
        <w:t>或</w:t>
      </w:r>
      <w:r>
        <w:rPr>
          <w:rFonts w:hint="eastAsia"/>
          <w:szCs w:val="21"/>
          <w:vertAlign w:val="superscript"/>
        </w:rPr>
        <w:t>232</w:t>
      </w:r>
      <w:r>
        <w:rPr>
          <w:rFonts w:hint="eastAsia"/>
          <w:szCs w:val="21"/>
        </w:rPr>
        <w:t>Th</w:t>
      </w:r>
      <w:r>
        <w:rPr>
          <w:rFonts w:hint="eastAsia" w:ascii="Times New Roman" w:hAnsi="Times New Roman" w:eastAsia="仿宋" w:cs="Times New Roman"/>
          <w:b w:val="0"/>
          <w:bCs w:val="0"/>
          <w:color w:val="000000"/>
          <w:kern w:val="2"/>
          <w:sz w:val="24"/>
          <w:szCs w:val="22"/>
          <w:lang w:val="en-US" w:eastAsia="zh-CN" w:bidi="en-US"/>
        </w:rPr>
        <w:t>在天然铀或钍中的丰度，分别为0.9928、1；</w:t>
      </w:r>
    </w:p>
    <w:p w14:paraId="7C122EC9">
      <w:pPr>
        <w:spacing w:line="350" w:lineRule="exact"/>
        <w:ind w:right="1964" w:firstLine="720" w:firstLineChars="300"/>
        <w:rPr>
          <w:sz w:val="20"/>
          <w:szCs w:val="20"/>
        </w:rPr>
      </w:pPr>
      <m:oMath>
        <m:r>
          <m:rPr/>
          <w:rPr>
            <w:rFonts w:hint="default" w:ascii="Cambria Math" w:hAnsi="Cambria Math" w:eastAsia="宋体" w:cs="宋体"/>
            <w:sz w:val="24"/>
            <w:lang w:val="en-US" w:eastAsia="zh-CN"/>
          </w:rPr>
          <m:t xml:space="preserve">       </m:t>
        </m:r>
        <m:r>
          <m:rPr/>
          <w:rPr>
            <w:rFonts w:ascii="Cambria Math" w:hAnsi="Cambria Math" w:cs="宋体"/>
            <w:sz w:val="24"/>
          </w:rPr>
          <m:t>M</m:t>
        </m:r>
      </m:oMath>
      <w:r>
        <w:rPr>
          <w:rFonts w:eastAsia="Times New Roman"/>
          <w:szCs w:val="21"/>
        </w:rPr>
        <w:t>—</w:t>
      </w:r>
      <w:r>
        <w:rPr>
          <w:rFonts w:hint="eastAsia"/>
          <w:szCs w:val="21"/>
          <w:vertAlign w:val="superscript"/>
        </w:rPr>
        <w:t>238</w:t>
      </w:r>
      <w:r>
        <w:rPr>
          <w:rFonts w:hint="eastAsia"/>
          <w:szCs w:val="21"/>
        </w:rPr>
        <w:t>U</w:t>
      </w:r>
      <w:r>
        <w:rPr>
          <w:rFonts w:hint="eastAsia" w:eastAsia="宋体"/>
          <w:szCs w:val="21"/>
          <w:lang w:eastAsia="zh-CN"/>
        </w:rPr>
        <w:t>或</w:t>
      </w:r>
      <w:r>
        <w:rPr>
          <w:rFonts w:hint="eastAsia"/>
          <w:szCs w:val="21"/>
          <w:vertAlign w:val="superscript"/>
        </w:rPr>
        <w:t>232</w:t>
      </w:r>
      <w:r>
        <w:rPr>
          <w:rFonts w:hint="eastAsia"/>
          <w:szCs w:val="21"/>
        </w:rPr>
        <w:t>Th</w:t>
      </w:r>
      <w:r>
        <w:rPr>
          <w:rFonts w:hint="eastAsia" w:ascii="Times New Roman" w:hAnsi="Times New Roman" w:eastAsia="仿宋" w:cs="Times New Roman"/>
          <w:b w:val="0"/>
          <w:bCs w:val="0"/>
          <w:color w:val="000000"/>
          <w:kern w:val="2"/>
          <w:sz w:val="24"/>
          <w:szCs w:val="22"/>
          <w:lang w:val="en-US" w:eastAsia="zh-CN" w:bidi="en-US"/>
        </w:rPr>
        <w:t>的原子量</w:t>
      </w:r>
      <w:r>
        <w:rPr>
          <w:rFonts w:hint="eastAsia"/>
          <w:szCs w:val="21"/>
        </w:rPr>
        <w:t>；</w:t>
      </w:r>
    </w:p>
    <w:p w14:paraId="6B0F656E">
      <w:pPr>
        <w:spacing w:line="47" w:lineRule="exact"/>
        <w:rPr>
          <w:sz w:val="20"/>
          <w:szCs w:val="20"/>
        </w:rPr>
      </w:pPr>
    </w:p>
    <w:p w14:paraId="1DA52873">
      <w:pPr>
        <w:tabs>
          <w:tab w:val="left" w:pos="1560"/>
        </w:tabs>
        <w:spacing w:line="276" w:lineRule="exact"/>
        <w:ind w:firstLine="1200" w:firstLineChars="500"/>
        <w:jc w:val="left"/>
        <w:rPr>
          <w:rFonts w:eastAsia="Times New Roman"/>
          <w:i/>
          <w:iCs/>
          <w:sz w:val="24"/>
        </w:rPr>
      </w:pPr>
      <m:oMath>
        <m:sSub>
          <m:sSubPr>
            <m:ctrlPr>
              <w:rPr>
                <w:rFonts w:ascii="Cambria Math" w:hAnsi="Cambria Math" w:cs="宋体"/>
                <w:i/>
                <w:iCs/>
                <w:szCs w:val="21"/>
              </w:rPr>
            </m:ctrlPr>
          </m:sSubPr>
          <m:e>
            <m:r>
              <m:rPr/>
              <w:rPr>
                <w:rFonts w:ascii="Cambria Math" w:hAnsi="Cambria Math" w:cs="宋体"/>
                <w:szCs w:val="21"/>
              </w:rPr>
              <m:t>T</m:t>
            </m:r>
            <m:ctrlPr>
              <w:rPr>
                <w:rFonts w:ascii="Cambria Math" w:hAnsi="Cambria Math" w:cs="宋体"/>
                <w:i/>
                <w:iCs/>
                <w:szCs w:val="21"/>
              </w:rPr>
            </m:ctrlPr>
          </m:e>
          <m:sub>
            <m:r>
              <m:rPr/>
              <w:rPr>
                <w:rFonts w:ascii="Cambria Math" w:hAnsi="Cambria Math" w:cs="宋体"/>
                <w:szCs w:val="21"/>
              </w:rPr>
              <m:t>1/2</m:t>
            </m:r>
            <m:ctrlPr>
              <w:rPr>
                <w:rFonts w:ascii="Cambria Math" w:hAnsi="Cambria Math" w:cs="宋体"/>
                <w:i/>
                <w:iCs/>
                <w:szCs w:val="21"/>
              </w:rPr>
            </m:ctrlPr>
          </m:sub>
        </m:sSub>
      </m:oMath>
      <w:r>
        <w:rPr>
          <w:rFonts w:eastAsia="Times New Roman"/>
          <w:szCs w:val="21"/>
        </w:rPr>
        <w:t>—</w:t>
      </w:r>
      <w:r>
        <w:rPr>
          <w:rFonts w:hint="eastAsia"/>
          <w:szCs w:val="21"/>
          <w:vertAlign w:val="superscript"/>
        </w:rPr>
        <w:t>238</w:t>
      </w:r>
      <w:r>
        <w:rPr>
          <w:rFonts w:hint="eastAsia"/>
          <w:szCs w:val="21"/>
        </w:rPr>
        <w:t>U、</w:t>
      </w:r>
      <w:r>
        <w:rPr>
          <w:rFonts w:hint="eastAsia"/>
          <w:szCs w:val="21"/>
          <w:vertAlign w:val="superscript"/>
        </w:rPr>
        <w:t>232</w:t>
      </w:r>
      <w:r>
        <w:rPr>
          <w:rFonts w:hint="eastAsia"/>
          <w:szCs w:val="21"/>
        </w:rPr>
        <w:t>Th</w:t>
      </w:r>
      <w:r>
        <w:rPr>
          <w:rFonts w:hint="eastAsia" w:ascii="Times New Roman" w:hAnsi="Times New Roman" w:eastAsia="仿宋" w:cs="Times New Roman"/>
          <w:b w:val="0"/>
          <w:bCs w:val="0"/>
          <w:color w:val="000000"/>
          <w:kern w:val="2"/>
          <w:sz w:val="24"/>
          <w:szCs w:val="22"/>
          <w:lang w:val="en-US" w:eastAsia="zh-CN" w:bidi="en-US"/>
        </w:rPr>
        <w:t>的半衰期，a，分别为4.51</w:t>
      </w:r>
      <w:r>
        <w:rPr>
          <w:rFonts w:hint="default" w:ascii="Arial" w:hAnsi="Arial" w:eastAsia="仿宋" w:cs="Arial"/>
          <w:b w:val="0"/>
          <w:bCs w:val="0"/>
          <w:color w:val="000000"/>
          <w:kern w:val="2"/>
          <w:sz w:val="24"/>
          <w:szCs w:val="22"/>
          <w:lang w:val="en-US" w:eastAsia="zh-CN" w:bidi="en-US"/>
        </w:rPr>
        <w:t>×</w:t>
      </w:r>
      <w:r>
        <w:rPr>
          <w:rFonts w:hint="eastAsia" w:ascii="Times New Roman" w:hAnsi="Times New Roman" w:eastAsia="仿宋" w:cs="Times New Roman"/>
          <w:b w:val="0"/>
          <w:bCs w:val="0"/>
          <w:color w:val="000000"/>
          <w:kern w:val="2"/>
          <w:sz w:val="24"/>
          <w:szCs w:val="22"/>
          <w:lang w:val="en-US" w:eastAsia="zh-CN" w:bidi="en-US"/>
        </w:rPr>
        <w:t>10</w:t>
      </w:r>
      <w:r>
        <w:rPr>
          <w:rFonts w:hint="eastAsia" w:ascii="Times New Roman" w:hAnsi="Times New Roman" w:eastAsia="仿宋" w:cs="Times New Roman"/>
          <w:b w:val="0"/>
          <w:bCs w:val="0"/>
          <w:color w:val="000000"/>
          <w:kern w:val="2"/>
          <w:sz w:val="24"/>
          <w:szCs w:val="22"/>
          <w:vertAlign w:val="superscript"/>
          <w:lang w:val="en-US" w:eastAsia="zh-CN" w:bidi="en-US"/>
        </w:rPr>
        <w:t>9</w:t>
      </w:r>
      <w:r>
        <w:rPr>
          <w:rFonts w:hint="eastAsia" w:ascii="Times New Roman" w:hAnsi="Times New Roman" w:eastAsia="仿宋" w:cs="Times New Roman"/>
          <w:b w:val="0"/>
          <w:bCs w:val="0"/>
          <w:color w:val="000000"/>
          <w:kern w:val="2"/>
          <w:sz w:val="24"/>
          <w:szCs w:val="22"/>
          <w:lang w:val="en-US" w:eastAsia="zh-CN" w:bidi="en-US"/>
        </w:rPr>
        <w:t>年、1.40</w:t>
      </w:r>
      <w:r>
        <w:rPr>
          <w:rFonts w:hint="default" w:ascii="Arial" w:hAnsi="Arial" w:eastAsia="仿宋" w:cs="Arial"/>
          <w:b w:val="0"/>
          <w:bCs w:val="0"/>
          <w:color w:val="000000"/>
          <w:kern w:val="2"/>
          <w:sz w:val="24"/>
          <w:szCs w:val="22"/>
          <w:lang w:val="en-US" w:eastAsia="zh-CN" w:bidi="en-US"/>
        </w:rPr>
        <w:t>×</w:t>
      </w:r>
      <w:r>
        <w:rPr>
          <w:rFonts w:hint="eastAsia" w:ascii="Times New Roman" w:hAnsi="Times New Roman" w:eastAsia="仿宋" w:cs="Times New Roman"/>
          <w:b w:val="0"/>
          <w:bCs w:val="0"/>
          <w:color w:val="000000"/>
          <w:kern w:val="2"/>
          <w:sz w:val="24"/>
          <w:szCs w:val="22"/>
          <w:lang w:val="en-US" w:eastAsia="zh-CN" w:bidi="en-US"/>
        </w:rPr>
        <w:t>10</w:t>
      </w:r>
      <w:r>
        <w:rPr>
          <w:rFonts w:hint="eastAsia" w:ascii="Times New Roman" w:hAnsi="Times New Roman" w:eastAsia="仿宋" w:cs="Times New Roman"/>
          <w:b w:val="0"/>
          <w:bCs w:val="0"/>
          <w:color w:val="000000"/>
          <w:kern w:val="2"/>
          <w:sz w:val="24"/>
          <w:szCs w:val="22"/>
          <w:vertAlign w:val="superscript"/>
          <w:lang w:val="en-US" w:eastAsia="zh-CN" w:bidi="en-US"/>
        </w:rPr>
        <w:t>10</w:t>
      </w:r>
      <w:r>
        <w:rPr>
          <w:rFonts w:hint="eastAsia" w:ascii="Times New Roman" w:hAnsi="Times New Roman" w:eastAsia="仿宋" w:cs="Times New Roman"/>
          <w:b w:val="0"/>
          <w:bCs w:val="0"/>
          <w:color w:val="000000"/>
          <w:kern w:val="2"/>
          <w:sz w:val="24"/>
          <w:szCs w:val="22"/>
          <w:lang w:val="en-US" w:eastAsia="zh-CN" w:bidi="en-US"/>
        </w:rPr>
        <w:t>年；</w:t>
      </w:r>
    </w:p>
    <w:p w14:paraId="75A6F2AF">
      <w:pPr>
        <w:spacing w:line="29" w:lineRule="exact"/>
        <w:rPr>
          <w:sz w:val="20"/>
          <w:szCs w:val="20"/>
        </w:rPr>
      </w:pPr>
    </w:p>
    <w:p w14:paraId="06E3C8FF">
      <w:pPr>
        <w:spacing w:line="311" w:lineRule="exact"/>
        <w:ind w:firstLine="1120" w:firstLineChars="400"/>
        <w:rPr>
          <w:rFonts w:ascii="宋体" w:hAnsi="宋体" w:cs="宋体"/>
          <w:szCs w:val="21"/>
        </w:rPr>
      </w:pPr>
      <m:oMath>
        <m:r>
          <m:rPr/>
          <w:rPr>
            <w:rFonts w:ascii="Cambria Math" w:hAnsi="Cambria Math" w:cs="Cambria Math"/>
            <w:sz w:val="28"/>
            <w:szCs w:val="28"/>
          </w:rPr>
          <m:t>ƞ</m:t>
        </m:r>
      </m:oMath>
      <w:r>
        <w:rPr>
          <w:rFonts w:eastAsia="Times New Roman"/>
          <w:szCs w:val="21"/>
        </w:rPr>
        <w:t>—</w:t>
      </w:r>
      <w:r>
        <w:rPr>
          <w:rFonts w:hint="eastAsia" w:ascii="Times New Roman" w:hAnsi="Times New Roman" w:eastAsia="仿宋" w:cs="Times New Roman"/>
          <w:b w:val="0"/>
          <w:bCs w:val="0"/>
          <w:color w:val="000000"/>
          <w:kern w:val="2"/>
          <w:sz w:val="24"/>
          <w:szCs w:val="22"/>
          <w:lang w:val="en-US" w:eastAsia="zh-CN" w:bidi="en-US"/>
        </w:rPr>
        <w:t>年换算成秒的数值。</w:t>
      </w:r>
    </w:p>
    <w:p w14:paraId="7B6C8B28">
      <w:pPr>
        <w:spacing w:line="311" w:lineRule="exact"/>
        <w:ind w:firstLine="720" w:firstLineChars="300"/>
        <w:rPr>
          <w:rFonts w:ascii="宋体" w:hAnsi="宋体" w:cs="宋体"/>
          <w:szCs w:val="21"/>
        </w:rPr>
      </w:pPr>
    </w:p>
    <w:p w14:paraId="67744E4E">
      <w:pPr>
        <w:pStyle w:val="2"/>
        <w:bidi w:val="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r>
        <w:rPr>
          <w:rFonts w:hint="eastAsia" w:ascii="宋体" w:hAnsi="宋体" w:cs="宋体"/>
          <w:sz w:val="28"/>
          <w:szCs w:val="28"/>
          <w:lang w:val="en-US" w:eastAsia="zh-CN"/>
        </w:rPr>
        <w:t>7</w:t>
      </w:r>
      <w:r>
        <w:rPr>
          <w:rFonts w:hint="eastAsia" w:ascii="宋体" w:hAnsi="宋体" w:eastAsia="宋体" w:cs="宋体"/>
          <w:sz w:val="28"/>
          <w:szCs w:val="28"/>
          <w:lang w:val="en-US" w:eastAsia="zh-CN"/>
        </w:rPr>
        <w:t>.1.2液态和不可干化的半固态固体废物</w:t>
      </w:r>
    </w:p>
    <w:p w14:paraId="3064222D">
      <w:pPr>
        <w:spacing w:line="332" w:lineRule="exact"/>
        <w:ind w:right="181"/>
        <w:jc w:val="left"/>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(A)、固体废物中待测元素的含量 ω（mg/kg）按照公式（5）进行计算。</w:t>
      </w:r>
    </w:p>
    <w:p w14:paraId="7C79A664">
      <w:pPr>
        <w:jc w:val="left"/>
        <w:rPr>
          <w:rFonts w:ascii="宋体" w:hAnsi="宋体" w:cs="宋体"/>
          <w:szCs w:val="21"/>
        </w:rPr>
      </w:pPr>
    </w:p>
    <w:p w14:paraId="0C47D99A">
      <w:pPr>
        <w:ind w:firstLine="460" w:firstLineChars="200"/>
        <w:jc w:val="left"/>
        <w:rPr>
          <w:rFonts w:ascii="宋体" w:hAnsi="宋体" w:cs="宋体"/>
          <w:szCs w:val="21"/>
        </w:rPr>
      </w:pPr>
      <w:r>
        <w:rPr>
          <w:rFonts w:ascii="Arial Unicode MS" w:hAnsi="Arial Unicode MS" w:eastAsia="Arial Unicode MS" w:cs="Arial Unicode MS"/>
          <w:i/>
          <w:iCs/>
          <w:sz w:val="23"/>
          <w:szCs w:val="23"/>
        </w:rPr>
        <w:t>ω</w:t>
      </w:r>
      <w:r>
        <w:rPr>
          <w:rFonts w:hint="eastAsia" w:ascii="Arial Unicode MS" w:hAnsi="Arial Unicode MS" w:eastAsia="Arial Unicode MS" w:cs="Arial Unicode MS"/>
          <w:sz w:val="30"/>
          <w:szCs w:val="30"/>
        </w:rPr>
        <w:t xml:space="preserve">= </w:t>
      </w:r>
      <m:oMath>
        <m:f>
          <m:fPr>
            <m:ctrlPr>
              <w:rPr>
                <w:rFonts w:ascii="Cambria Math" w:hAnsi="Cambria Math" w:cs="Arial Unicode MS"/>
                <w:i/>
                <w:sz w:val="30"/>
                <w:szCs w:val="30"/>
              </w:rPr>
            </m:ctrlPr>
          </m:fPr>
          <m:num>
            <m:r>
              <m:rPr/>
              <w:rPr>
                <w:rFonts w:ascii="Cambria Math" w:hAnsi="Cambria Math" w:cs="Arial Unicode MS"/>
                <w:sz w:val="30"/>
                <w:szCs w:val="30"/>
              </w:rPr>
              <m:t>（</m:t>
            </m:r>
            <m:r>
              <m:rPr/>
              <w:rPr>
                <w:rFonts w:ascii="Cambria Math" w:hAnsi="Cambria Math" w:cs="Cambria Math"/>
                <w:sz w:val="30"/>
                <w:szCs w:val="30"/>
                <w:vertAlign w:val="subscript"/>
              </w:rPr>
              <m:t>ρ</m:t>
            </m:r>
            <m:r>
              <m:rPr/>
              <w:rPr>
                <w:rFonts w:eastAsia="Times New Roman"/>
                <w:sz w:val="30"/>
                <w:szCs w:val="30"/>
                <w:vertAlign w:val="subscript"/>
              </w:rPr>
              <m:t>x</m:t>
            </m:r>
            <m:r>
              <m:rPr/>
              <w:rPr>
                <w:rFonts w:ascii="Cambria Math" w:hAnsi="Cambria Math"/>
                <w:sz w:val="30"/>
                <w:szCs w:val="30"/>
                <w:vertAlign w:val="subscript"/>
              </w:rPr>
              <m:t>−</m:t>
            </m:r>
            <m:r>
              <m:rPr/>
              <w:rPr>
                <w:rFonts w:ascii="Cambria Math" w:hAnsi="Cambria Math" w:cs="Cambria Math"/>
                <w:sz w:val="30"/>
                <w:szCs w:val="30"/>
                <w:vertAlign w:val="subscript"/>
              </w:rPr>
              <m:t>ρo</m:t>
            </m:r>
            <m:r>
              <m:rPr>
                <m:sty m:val="p"/>
              </m:rPr>
              <w:rPr>
                <w:rFonts w:ascii="Cambria Math" w:hAnsi="Cambria Math"/>
                <w:sz w:val="30"/>
                <w:szCs w:val="30"/>
              </w:rPr>
              <m:t>）</m:t>
            </m:r>
            <m:r>
              <m:rPr>
                <m:sty m:val="p"/>
              </m:rPr>
              <w:rPr>
                <w:rFonts w:ascii="Cambria Math" w:hAnsi="Cambria Math" w:cs="Arial"/>
                <w:sz w:val="30"/>
                <w:szCs w:val="30"/>
              </w:rPr>
              <m:t>×</m:t>
            </m:r>
            <m:r>
              <m:rPr>
                <m:sty m:val="p"/>
              </m:rPr>
              <w:rPr>
                <w:rFonts w:ascii="Cambria Math" w:hAnsi="Cambria Math"/>
                <w:sz w:val="30"/>
                <w:szCs w:val="30"/>
              </w:rPr>
              <m:t xml:space="preserve">V </m:t>
            </m:r>
            <m:r>
              <m:rPr>
                <m:sty m:val="p"/>
              </m:rPr>
              <w:rPr>
                <w:rFonts w:ascii="Cambria Math" w:hAnsi="Cambria Math" w:cs="Arial"/>
                <w:sz w:val="30"/>
                <w:szCs w:val="30"/>
              </w:rPr>
              <m:t xml:space="preserve">× </m:t>
            </m:r>
            <m:r>
              <m:rPr>
                <m:sty m:val="p"/>
              </m:rPr>
              <w:rPr>
                <w:rFonts w:ascii="Cambria Math" w:hAnsi="Cambria Math"/>
                <w:sz w:val="30"/>
                <w:szCs w:val="30"/>
              </w:rPr>
              <m:t>n</m:t>
            </m:r>
            <m:ctrlPr>
              <w:rPr>
                <w:rFonts w:ascii="Cambria Math" w:hAnsi="Cambria Math" w:cs="Arial Unicode MS"/>
                <w:i/>
                <w:sz w:val="30"/>
                <w:szCs w:val="30"/>
              </w:rPr>
            </m:ctrlPr>
          </m:num>
          <m:den>
            <m:r>
              <m:rPr/>
              <w:rPr>
                <w:rFonts w:ascii="Cambria Math" w:hAnsi="Cambria Math" w:cs="Arial Unicode MS"/>
                <w:sz w:val="30"/>
                <w:szCs w:val="30"/>
              </w:rPr>
              <m:t>m</m:t>
            </m:r>
            <m:r>
              <m:rPr/>
              <w:rPr>
                <w:rFonts w:ascii="Cambria Math" w:hAnsi="Cambria Math" w:cs="Arial Unicode MS"/>
                <w:sz w:val="30"/>
                <w:szCs w:val="30"/>
                <w:vertAlign w:val="subscript"/>
              </w:rPr>
              <m:t>3</m:t>
            </m:r>
            <m:ctrlPr>
              <w:rPr>
                <w:rFonts w:ascii="Cambria Math" w:hAnsi="Cambria Math" w:cs="Arial Unicode MS"/>
                <w:i/>
                <w:sz w:val="30"/>
                <w:szCs w:val="30"/>
              </w:rPr>
            </m:ctrlPr>
          </m:den>
        </m:f>
      </m:oMath>
      <w:r>
        <w:rPr>
          <w:rFonts w:ascii="Arial" w:hAnsi="Arial" w:cs="Arial"/>
          <w:sz w:val="30"/>
          <w:szCs w:val="30"/>
        </w:rPr>
        <w:t>×</w:t>
      </w:r>
      <w:r>
        <w:rPr>
          <w:rFonts w:hint="eastAsia" w:hAnsi="Cambria Math" w:cs="Arial"/>
          <w:sz w:val="30"/>
          <w:szCs w:val="30"/>
        </w:rPr>
        <w:t>10</w:t>
      </w:r>
      <w:r>
        <w:rPr>
          <w:rFonts w:hint="eastAsia" w:hAnsi="Cambria Math" w:cs="Arial"/>
          <w:sz w:val="30"/>
          <w:szCs w:val="30"/>
          <w:vertAlign w:val="superscript"/>
        </w:rPr>
        <w:t xml:space="preserve">-3                                  </w:t>
      </w:r>
      <w:r>
        <w:rPr>
          <w:rFonts w:hint="eastAsia" w:ascii="宋体" w:hAnsi="宋体" w:cs="宋体"/>
          <w:szCs w:val="21"/>
        </w:rPr>
        <w:t>(5)</w:t>
      </w:r>
    </w:p>
    <w:p w14:paraId="0CA2741A">
      <w:pPr>
        <w:jc w:val="left"/>
        <w:rPr>
          <w:rFonts w:ascii="宋体" w:hAnsi="宋体" w:cs="宋体"/>
          <w:szCs w:val="21"/>
        </w:rPr>
      </w:pPr>
    </w:p>
    <w:p w14:paraId="786D3828">
      <w:pPr>
        <w:jc w:val="left"/>
        <w:rPr>
          <w:rFonts w:ascii="宋体" w:hAnsi="宋体" w:cs="宋体"/>
          <w:szCs w:val="21"/>
        </w:rPr>
      </w:pPr>
    </w:p>
    <w:p w14:paraId="5BB8F9D2">
      <w:pPr>
        <w:spacing w:line="240" w:lineRule="exact"/>
        <w:jc w:val="left"/>
        <w:rPr>
          <w:sz w:val="20"/>
          <w:szCs w:val="20"/>
        </w:rPr>
      </w:pPr>
      <w:r>
        <w:rPr>
          <w:rFonts w:hint="eastAsia" w:ascii="Times New Roman" w:hAnsi="Times New Roman" w:eastAsia="仿宋" w:cs="Times New Roman"/>
          <w:b w:val="0"/>
          <w:bCs w:val="0"/>
          <w:color w:val="000000"/>
          <w:kern w:val="2"/>
          <w:sz w:val="24"/>
          <w:szCs w:val="22"/>
          <w:lang w:val="en-US" w:eastAsia="zh-CN" w:bidi="en-US"/>
        </w:rPr>
        <w:t>式中：</w:t>
      </w:r>
      <w:r>
        <w:rPr>
          <w:rFonts w:ascii="Arial Unicode MS" w:hAnsi="Arial Unicode MS" w:eastAsia="Arial Unicode MS" w:cs="Arial Unicode MS"/>
          <w:i/>
          <w:iCs/>
          <w:sz w:val="23"/>
          <w:szCs w:val="23"/>
        </w:rPr>
        <w:t>ω</w:t>
      </w:r>
      <w:r>
        <w:rPr>
          <w:rFonts w:eastAsia="Times New Roman"/>
          <w:sz w:val="20"/>
          <w:szCs w:val="20"/>
        </w:rPr>
        <w:t>—</w:t>
      </w:r>
      <w:r>
        <w:rPr>
          <w:rFonts w:hint="eastAsia" w:ascii="Times New Roman" w:hAnsi="Times New Roman" w:eastAsia="仿宋" w:cs="Times New Roman"/>
          <w:b w:val="0"/>
          <w:bCs w:val="0"/>
          <w:color w:val="000000"/>
          <w:kern w:val="2"/>
          <w:sz w:val="24"/>
          <w:szCs w:val="22"/>
          <w:lang w:val="en-US" w:eastAsia="zh-CN" w:bidi="en-US"/>
        </w:rPr>
        <w:t>固体废物中待测铀/钍元素的含量，mg/kg；</w:t>
      </w:r>
    </w:p>
    <w:p w14:paraId="2359AA80">
      <w:pPr>
        <w:spacing w:line="1" w:lineRule="exact"/>
        <w:rPr>
          <w:sz w:val="20"/>
          <w:szCs w:val="20"/>
        </w:rPr>
      </w:pPr>
    </w:p>
    <w:p w14:paraId="7F01708B">
      <w:pPr>
        <w:spacing w:line="350" w:lineRule="exact"/>
        <w:ind w:right="1964" w:firstLine="1150" w:firstLineChars="500"/>
        <w:rPr>
          <w:rFonts w:hint="eastAsia" w:ascii="Times New Roman" w:hAnsi="Times New Roman" w:eastAsia="仿宋" w:cs="Times New Roman"/>
          <w:b w:val="0"/>
          <w:bCs w:val="0"/>
          <w:color w:val="000000"/>
          <w:kern w:val="2"/>
          <w:sz w:val="24"/>
          <w:szCs w:val="22"/>
          <w:lang w:val="en-US" w:eastAsia="zh-CN" w:bidi="en-US"/>
        </w:rPr>
      </w:pPr>
      <w:r>
        <w:rPr>
          <w:rFonts w:ascii="Arial Unicode MS" w:hAnsi="Arial Unicode MS" w:eastAsia="Arial Unicode MS" w:cs="Arial Unicode MS"/>
          <w:i/>
          <w:iCs/>
          <w:sz w:val="23"/>
          <w:szCs w:val="23"/>
        </w:rPr>
        <w:t>ρ</w:t>
      </w:r>
      <w:r>
        <w:rPr>
          <w:rFonts w:eastAsia="Times New Roman"/>
          <w:i/>
          <w:iCs/>
          <w:sz w:val="27"/>
          <w:szCs w:val="27"/>
          <w:vertAlign w:val="subscript"/>
        </w:rPr>
        <w:t>x</w:t>
      </w:r>
      <w:r>
        <w:rPr>
          <w:rFonts w:eastAsia="Times New Roman"/>
          <w:szCs w:val="21"/>
        </w:rPr>
        <w:t xml:space="preserve"> —</w:t>
      </w:r>
      <w:r>
        <w:rPr>
          <w:rFonts w:hint="eastAsia" w:ascii="Times New Roman" w:hAnsi="Times New Roman" w:eastAsia="仿宋" w:cs="Times New Roman"/>
          <w:b w:val="0"/>
          <w:bCs w:val="0"/>
          <w:color w:val="000000"/>
          <w:kern w:val="2"/>
          <w:sz w:val="24"/>
          <w:szCs w:val="22"/>
          <w:lang w:val="en-US" w:eastAsia="zh-CN" w:bidi="en-US"/>
        </w:rPr>
        <w:t>由校准曲线计算测定试样中待测元素的浓度，µg/L；</w:t>
      </w:r>
    </w:p>
    <w:p w14:paraId="3DAFE00F">
      <w:pPr>
        <w:spacing w:line="350" w:lineRule="exact"/>
        <w:ind w:right="1964" w:firstLine="1200" w:firstLineChars="500"/>
        <w:rPr>
          <w:sz w:val="20"/>
          <w:szCs w:val="20"/>
        </w:rPr>
      </w:pPr>
      <w:r>
        <w:rPr>
          <w:rFonts w:ascii="Arial Unicode MS" w:hAnsi="Arial Unicode MS" w:eastAsia="Arial Unicode MS" w:cs="Arial Unicode MS"/>
          <w:i/>
          <w:iCs/>
          <w:sz w:val="24"/>
        </w:rPr>
        <w:t>ρ</w:t>
      </w:r>
      <w:r>
        <w:rPr>
          <w:rFonts w:eastAsia="Times New Roman"/>
          <w:sz w:val="27"/>
          <w:szCs w:val="27"/>
          <w:vertAlign w:val="subscript"/>
        </w:rPr>
        <w:t>0</w:t>
      </w:r>
      <w:r>
        <w:rPr>
          <w:rFonts w:eastAsia="Times New Roman"/>
          <w:szCs w:val="21"/>
        </w:rPr>
        <w:t xml:space="preserve"> —</w:t>
      </w:r>
      <w:r>
        <w:rPr>
          <w:rFonts w:hint="eastAsia" w:ascii="Times New Roman" w:hAnsi="Times New Roman" w:eastAsia="仿宋" w:cs="Times New Roman"/>
          <w:b w:val="0"/>
          <w:bCs w:val="0"/>
          <w:color w:val="000000"/>
          <w:kern w:val="2"/>
          <w:sz w:val="24"/>
          <w:szCs w:val="22"/>
          <w:lang w:val="en-US" w:eastAsia="zh-CN" w:bidi="en-US"/>
        </w:rPr>
        <w:t>空白试样中待测元素浓度，µg/L</w:t>
      </w:r>
      <w:r>
        <w:rPr>
          <w:rFonts w:ascii="宋体" w:hAnsi="宋体" w:cs="宋体"/>
          <w:szCs w:val="21"/>
        </w:rPr>
        <w:t>；</w:t>
      </w:r>
    </w:p>
    <w:p w14:paraId="2BA55D1F">
      <w:pPr>
        <w:spacing w:line="47" w:lineRule="exact"/>
        <w:rPr>
          <w:sz w:val="20"/>
          <w:szCs w:val="20"/>
        </w:rPr>
      </w:pPr>
    </w:p>
    <w:p w14:paraId="461526DD">
      <w:pPr>
        <w:tabs>
          <w:tab w:val="left" w:pos="1560"/>
        </w:tabs>
        <w:spacing w:line="276" w:lineRule="exact"/>
        <w:ind w:firstLine="1200" w:firstLineChars="500"/>
        <w:jc w:val="left"/>
        <w:rPr>
          <w:rFonts w:ascii="宋体" w:hAnsi="宋体" w:cs="宋体"/>
          <w:szCs w:val="21"/>
        </w:rPr>
      </w:pPr>
      <w:r>
        <w:rPr>
          <w:rFonts w:hint="eastAsia" w:ascii="宋体" w:hAnsi="宋体" w:cs="宋体"/>
          <w:szCs w:val="21"/>
        </w:rPr>
        <w:t>V</w:t>
      </w:r>
      <w:r>
        <w:rPr>
          <w:rFonts w:eastAsia="Times New Roman"/>
          <w:szCs w:val="21"/>
        </w:rPr>
        <w:t>—</w:t>
      </w:r>
      <w:r>
        <w:rPr>
          <w:rFonts w:hint="eastAsia" w:ascii="Times New Roman" w:hAnsi="Times New Roman" w:eastAsia="仿宋" w:cs="Times New Roman"/>
          <w:b w:val="0"/>
          <w:bCs w:val="0"/>
          <w:color w:val="000000"/>
          <w:kern w:val="2"/>
          <w:sz w:val="24"/>
          <w:szCs w:val="22"/>
          <w:lang w:val="en-US" w:eastAsia="zh-CN" w:bidi="en-US"/>
        </w:rPr>
        <w:t>消解后试样的定容体积，mL；</w:t>
      </w:r>
    </w:p>
    <w:p w14:paraId="6F2708DD">
      <w:pPr>
        <w:tabs>
          <w:tab w:val="left" w:pos="1560"/>
        </w:tabs>
        <w:spacing w:line="276" w:lineRule="exact"/>
        <w:ind w:firstLine="1200" w:firstLineChars="500"/>
        <w:jc w:val="left"/>
        <w:rPr>
          <w:rFonts w:ascii="宋体" w:hAnsi="宋体" w:cs="宋体"/>
          <w:szCs w:val="21"/>
        </w:rPr>
      </w:pPr>
      <w:r>
        <w:rPr>
          <w:rFonts w:hint="eastAsia" w:ascii="宋体" w:hAnsi="宋体" w:cs="宋体"/>
          <w:szCs w:val="21"/>
        </w:rPr>
        <w:t>n</w:t>
      </w:r>
      <w:r>
        <w:rPr>
          <w:rFonts w:eastAsia="Times New Roman"/>
          <w:szCs w:val="21"/>
        </w:rPr>
        <w:t>—</w:t>
      </w:r>
      <w:r>
        <w:rPr>
          <w:rFonts w:hint="eastAsia" w:ascii="Times New Roman" w:hAnsi="Times New Roman" w:eastAsia="仿宋" w:cs="Times New Roman"/>
          <w:b w:val="0"/>
          <w:bCs w:val="0"/>
          <w:color w:val="000000"/>
          <w:kern w:val="2"/>
          <w:sz w:val="24"/>
          <w:szCs w:val="22"/>
          <w:lang w:val="en-US" w:eastAsia="zh-CN" w:bidi="en-US"/>
        </w:rPr>
        <w:t>稀释倍数；</w:t>
      </w:r>
    </w:p>
    <w:p w14:paraId="1714AA6C">
      <w:pPr>
        <w:tabs>
          <w:tab w:val="left" w:pos="1560"/>
        </w:tabs>
        <w:spacing w:line="276" w:lineRule="exact"/>
        <w:ind w:firstLine="1200" w:firstLineChars="500"/>
        <w:jc w:val="left"/>
        <w:rPr>
          <w:rFonts w:hint="eastAsia" w:ascii="Times New Roman" w:hAnsi="Times New Roman" w:eastAsia="仿宋" w:cs="Times New Roman"/>
          <w:b w:val="0"/>
          <w:bCs w:val="0"/>
          <w:color w:val="000000"/>
          <w:kern w:val="2"/>
          <w:sz w:val="24"/>
          <w:szCs w:val="22"/>
          <w:lang w:val="en-US" w:eastAsia="zh-CN" w:bidi="en-US"/>
        </w:rPr>
      </w:pPr>
      <w:r>
        <w:rPr>
          <w:rFonts w:eastAsia="Times New Roman"/>
          <w:i/>
          <w:iCs/>
          <w:sz w:val="24"/>
        </w:rPr>
        <w:t>m</w:t>
      </w:r>
      <w:r>
        <w:rPr>
          <w:rFonts w:eastAsia="Times New Roman"/>
          <w:sz w:val="27"/>
          <w:szCs w:val="27"/>
          <w:vertAlign w:val="subscript"/>
        </w:rPr>
        <w:t>3</w:t>
      </w:r>
      <w:r>
        <w:rPr>
          <w:rFonts w:eastAsia="Times New Roman"/>
          <w:szCs w:val="21"/>
        </w:rPr>
        <w:t>—</w:t>
      </w:r>
      <w:r>
        <w:rPr>
          <w:rFonts w:hint="eastAsia" w:ascii="Times New Roman" w:hAnsi="Times New Roman" w:eastAsia="仿宋" w:cs="Times New Roman"/>
          <w:b w:val="0"/>
          <w:bCs w:val="0"/>
          <w:color w:val="000000"/>
          <w:kern w:val="2"/>
          <w:sz w:val="24"/>
          <w:szCs w:val="22"/>
          <w:lang w:val="en-US" w:eastAsia="zh-CN" w:bidi="en-US"/>
        </w:rPr>
        <w:t>称取样品质量，g。</w:t>
      </w:r>
    </w:p>
    <w:p w14:paraId="2C80634D">
      <w:pPr>
        <w:tabs>
          <w:tab w:val="left" w:pos="1560"/>
        </w:tabs>
        <w:spacing w:line="276" w:lineRule="exact"/>
        <w:jc w:val="left"/>
        <w:rPr>
          <w:rFonts w:ascii="宋体" w:hAnsi="宋体" w:cs="宋体"/>
          <w:szCs w:val="21"/>
        </w:rPr>
      </w:pPr>
    </w:p>
    <w:p w14:paraId="032770F6">
      <w:pPr>
        <w:tabs>
          <w:tab w:val="left" w:pos="1560"/>
        </w:tabs>
        <w:spacing w:line="360" w:lineRule="auto"/>
        <w:jc w:val="left"/>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(B)、固体废物中铀-238或钍-232比活度Ar（Bq/kg）按照公式（2）/(3)进行计算。</w:t>
      </w:r>
    </w:p>
    <w:p w14:paraId="22820C9C">
      <w:pPr>
        <w:tabs>
          <w:tab w:val="left" w:pos="1560"/>
        </w:tabs>
        <w:spacing w:line="276" w:lineRule="exact"/>
        <w:jc w:val="left"/>
        <w:rPr>
          <w:rFonts w:ascii="宋体" w:hAnsi="宋体" w:cs="宋体"/>
          <w:szCs w:val="21"/>
        </w:rPr>
      </w:pPr>
    </w:p>
    <w:p w14:paraId="346DA8A7">
      <w:pPr>
        <w:pStyle w:val="23"/>
        <w:numPr>
          <w:ilvl w:val="1"/>
          <w:numId w:val="0"/>
        </w:numPr>
        <w:spacing w:line="360" w:lineRule="auto"/>
        <w:rPr>
          <w:rFonts w:hint="eastAsia" w:ascii="宋体" w:hAnsi="宋体" w:eastAsia="宋体" w:cs="宋体"/>
          <w:b/>
          <w:bCs w:val="0"/>
          <w:kern w:val="2"/>
          <w:sz w:val="28"/>
          <w:szCs w:val="28"/>
          <w:lang w:val="en-US" w:eastAsia="zh-CN" w:bidi="ar-SA"/>
        </w:rPr>
      </w:pPr>
      <w:r>
        <w:rPr>
          <w:rFonts w:hint="eastAsia" w:ascii="宋体" w:hAnsi="宋体" w:eastAsia="宋体" w:cs="宋体"/>
          <w:b/>
          <w:bCs w:val="0"/>
          <w:kern w:val="2"/>
          <w:sz w:val="28"/>
          <w:szCs w:val="28"/>
          <w:lang w:val="en-US" w:eastAsia="zh-CN" w:bidi="ar-SA"/>
        </w:rPr>
        <w:t>5.</w:t>
      </w:r>
      <w:r>
        <w:rPr>
          <w:rFonts w:hint="eastAsia" w:hAnsi="宋体" w:cs="宋体"/>
          <w:b/>
          <w:bCs w:val="0"/>
          <w:kern w:val="2"/>
          <w:sz w:val="28"/>
          <w:szCs w:val="28"/>
          <w:lang w:val="en-US" w:eastAsia="zh-CN" w:bidi="ar-SA"/>
        </w:rPr>
        <w:t>7</w:t>
      </w:r>
      <w:r>
        <w:rPr>
          <w:rFonts w:hint="eastAsia" w:ascii="宋体" w:hAnsi="宋体" w:eastAsia="宋体" w:cs="宋体"/>
          <w:b/>
          <w:bCs w:val="0"/>
          <w:kern w:val="2"/>
          <w:sz w:val="28"/>
          <w:szCs w:val="28"/>
          <w:lang w:val="en-US" w:eastAsia="zh-CN" w:bidi="ar-SA"/>
        </w:rPr>
        <w:t>.2固体废物浸出液测定结果的计算</w:t>
      </w:r>
    </w:p>
    <w:p w14:paraId="1FCA897B">
      <w:pPr>
        <w:tabs>
          <w:tab w:val="left" w:pos="1560"/>
        </w:tabs>
        <w:spacing w:line="276" w:lineRule="exact"/>
        <w:jc w:val="left"/>
        <w:rPr>
          <w:rFonts w:ascii="宋体" w:hAnsi="宋体" w:cs="宋体"/>
          <w:b/>
          <w:bCs/>
          <w:kern w:val="0"/>
          <w:szCs w:val="21"/>
        </w:rPr>
      </w:pPr>
    </w:p>
    <w:p w14:paraId="613391C5">
      <w:pPr>
        <w:tabs>
          <w:tab w:val="left" w:pos="1560"/>
        </w:tabs>
        <w:spacing w:line="360" w:lineRule="auto"/>
        <w:jc w:val="left"/>
      </w:pPr>
      <w:r>
        <w:rPr>
          <w:rFonts w:hint="eastAsia" w:ascii="Times New Roman" w:hAnsi="Times New Roman" w:eastAsia="仿宋" w:cs="Times New Roman"/>
          <w:b w:val="0"/>
          <w:bCs w:val="0"/>
          <w:color w:val="000000"/>
          <w:kern w:val="2"/>
          <w:sz w:val="24"/>
          <w:szCs w:val="22"/>
          <w:lang w:val="en-US" w:eastAsia="zh-CN" w:bidi="en-US"/>
        </w:rPr>
        <w:t>(A)、固体废物浸出液中待测元素的质量浓度ρ（µg/L）按照公式（6）进行计算。</w:t>
      </w:r>
    </w:p>
    <w:p w14:paraId="654243DF">
      <w:pPr>
        <w:ind w:firstLine="600" w:firstLineChars="200"/>
        <w:rPr>
          <w:rFonts w:ascii="宋体" w:hAnsi="宋体" w:cs="宋体"/>
          <w:szCs w:val="21"/>
        </w:rPr>
      </w:pPr>
      <w:r>
        <w:rPr>
          <w:rFonts w:ascii="Cambria Math" w:hAnsi="Cambria Math" w:cs="Cambria Math"/>
          <w:sz w:val="30"/>
          <w:szCs w:val="30"/>
        </w:rPr>
        <w:t>ρ</w:t>
      </w:r>
      <w:r>
        <w:rPr>
          <w:rFonts w:hint="eastAsia" w:ascii="Arial Unicode MS" w:hAnsi="Arial Unicode MS" w:eastAsia="Arial Unicode MS" w:cs="Arial Unicode MS"/>
          <w:sz w:val="30"/>
          <w:szCs w:val="30"/>
        </w:rPr>
        <w:t xml:space="preserve">= </w:t>
      </w:r>
      <m:oMath>
        <m:f>
          <m:fPr>
            <m:ctrlPr>
              <w:rPr>
                <w:rFonts w:ascii="Cambria Math" w:hAnsi="Cambria Math" w:cs="Arial Unicode MS"/>
                <w:i/>
                <w:sz w:val="30"/>
                <w:szCs w:val="30"/>
              </w:rPr>
            </m:ctrlPr>
          </m:fPr>
          <m:num>
            <m:r>
              <m:rPr/>
              <w:rPr>
                <w:rFonts w:ascii="Cambria Math" w:hAnsi="Cambria Math" w:cs="Arial Unicode MS"/>
                <w:sz w:val="30"/>
                <w:szCs w:val="30"/>
              </w:rPr>
              <m:t>（</m:t>
            </m:r>
            <m:r>
              <m:rPr/>
              <w:rPr>
                <w:rFonts w:ascii="Cambria Math" w:hAnsi="Cambria Math" w:cs="Cambria Math"/>
                <w:sz w:val="30"/>
                <w:szCs w:val="30"/>
                <w:vertAlign w:val="subscript"/>
              </w:rPr>
              <m:t>ρ</m:t>
            </m:r>
            <m:r>
              <m:rPr/>
              <w:rPr>
                <w:rFonts w:eastAsia="Times New Roman"/>
                <w:sz w:val="30"/>
                <w:szCs w:val="30"/>
                <w:vertAlign w:val="subscript"/>
              </w:rPr>
              <m:t>x</m:t>
            </m:r>
            <m:r>
              <m:rPr/>
              <w:rPr>
                <w:rFonts w:ascii="Cambria Math" w:hAnsi="Cambria Math"/>
                <w:sz w:val="30"/>
                <w:szCs w:val="30"/>
                <w:vertAlign w:val="subscript"/>
              </w:rPr>
              <m:t>−</m:t>
            </m:r>
            <m:r>
              <m:rPr/>
              <w:rPr>
                <w:rFonts w:ascii="Cambria Math" w:hAnsi="Cambria Math" w:cs="Cambria Math"/>
                <w:sz w:val="30"/>
                <w:szCs w:val="30"/>
                <w:vertAlign w:val="subscript"/>
              </w:rPr>
              <m:t>ρo</m:t>
            </m:r>
            <m:r>
              <m:rPr>
                <m:sty m:val="p"/>
              </m:rPr>
              <w:rPr>
                <w:rFonts w:ascii="Cambria Math" w:hAnsi="Cambria Math"/>
                <w:sz w:val="30"/>
                <w:szCs w:val="30"/>
              </w:rPr>
              <m:t>）</m:t>
            </m:r>
            <m:r>
              <m:rPr>
                <m:sty m:val="p"/>
              </m:rPr>
              <w:rPr>
                <w:rFonts w:ascii="Cambria Math" w:hAnsi="Cambria Math" w:cs="Arial"/>
                <w:sz w:val="30"/>
                <w:szCs w:val="30"/>
              </w:rPr>
              <m:t>×</m:t>
            </m:r>
            <m:sSub>
              <m:sSubPr>
                <m:ctrlPr>
                  <w:rPr>
                    <w:rFonts w:ascii="Cambria Math" w:hAnsi="Cambria Math"/>
                    <w:sz w:val="30"/>
                    <w:szCs w:val="30"/>
                  </w:rPr>
                </m:ctrlPr>
              </m:sSubPr>
              <m:e>
                <m:r>
                  <m:rPr>
                    <m:sty m:val="p"/>
                  </m:rPr>
                  <w:rPr>
                    <w:rFonts w:ascii="Cambria Math" w:hAnsi="Cambria Math"/>
                    <w:sz w:val="30"/>
                    <w:szCs w:val="30"/>
                  </w:rPr>
                  <m:t>V</m:t>
                </m:r>
                <m:ctrlPr>
                  <w:rPr>
                    <w:rFonts w:ascii="Cambria Math" w:hAnsi="Cambria Math"/>
                    <w:sz w:val="30"/>
                    <w:szCs w:val="30"/>
                  </w:rPr>
                </m:ctrlPr>
              </m:e>
              <m:sub>
                <m:r>
                  <m:rPr>
                    <m:sty m:val="p"/>
                  </m:rPr>
                  <w:rPr>
                    <w:rFonts w:ascii="Cambria Math" w:hAnsi="Cambria Math"/>
                    <w:sz w:val="30"/>
                    <w:szCs w:val="30"/>
                  </w:rPr>
                  <m:t>2</m:t>
                </m:r>
                <m:ctrlPr>
                  <w:rPr>
                    <w:rFonts w:ascii="Cambria Math" w:hAnsi="Cambria Math"/>
                    <w:sz w:val="30"/>
                    <w:szCs w:val="30"/>
                  </w:rPr>
                </m:ctrlPr>
              </m:sub>
            </m:sSub>
            <m:ctrlPr>
              <w:rPr>
                <w:rFonts w:ascii="Cambria Math" w:hAnsi="Cambria Math" w:cs="Arial Unicode MS"/>
                <w:i/>
                <w:sz w:val="30"/>
                <w:szCs w:val="30"/>
              </w:rPr>
            </m:ctrlPr>
          </m:num>
          <m:den>
            <m:sSub>
              <m:sSubPr>
                <m:ctrlPr>
                  <w:rPr>
                    <w:rFonts w:ascii="Cambria Math" w:hAnsi="Cambria Math" w:cs="Arial Unicode MS"/>
                    <w:i/>
                    <w:sz w:val="30"/>
                    <w:szCs w:val="30"/>
                  </w:rPr>
                </m:ctrlPr>
              </m:sSubPr>
              <m:e>
                <m:r>
                  <m:rPr/>
                  <w:rPr>
                    <w:rFonts w:ascii="Cambria Math" w:hAnsi="Cambria Math" w:cs="Arial Unicode MS"/>
                    <w:sz w:val="30"/>
                    <w:szCs w:val="30"/>
                  </w:rPr>
                  <m:t>V</m:t>
                </m:r>
                <m:ctrlPr>
                  <w:rPr>
                    <w:rFonts w:ascii="Cambria Math" w:hAnsi="Cambria Math" w:cs="Arial Unicode MS"/>
                    <w:i/>
                    <w:sz w:val="30"/>
                    <w:szCs w:val="30"/>
                  </w:rPr>
                </m:ctrlPr>
              </m:e>
              <m:sub>
                <m:r>
                  <m:rPr/>
                  <w:rPr>
                    <w:rFonts w:ascii="Cambria Math" w:hAnsi="Cambria Math" w:cs="Arial Unicode MS"/>
                    <w:sz w:val="30"/>
                    <w:szCs w:val="30"/>
                  </w:rPr>
                  <m:t>1</m:t>
                </m:r>
                <m:ctrlPr>
                  <w:rPr>
                    <w:rFonts w:ascii="Cambria Math" w:hAnsi="Cambria Math" w:cs="Arial Unicode MS"/>
                    <w:i/>
                    <w:sz w:val="30"/>
                    <w:szCs w:val="30"/>
                  </w:rPr>
                </m:ctrlPr>
              </m:sub>
            </m:sSub>
            <m:ctrlPr>
              <w:rPr>
                <w:rFonts w:ascii="Cambria Math" w:hAnsi="Cambria Math" w:cs="Arial Unicode MS"/>
                <w:i/>
                <w:sz w:val="30"/>
                <w:szCs w:val="30"/>
              </w:rPr>
            </m:ctrlPr>
          </m:den>
        </m:f>
      </m:oMath>
      <w:r>
        <w:rPr>
          <w:rFonts w:hint="eastAsia" w:hAnsi="Cambria Math" w:eastAsia="宋体" w:cs="Arial Unicode MS"/>
          <w:i w:val="0"/>
          <w:sz w:val="30"/>
          <w:szCs w:val="30"/>
          <w:lang w:val="en-US" w:eastAsia="zh-CN"/>
        </w:rPr>
        <w:t xml:space="preserve">                           </w:t>
      </w:r>
      <w:r>
        <w:rPr>
          <w:rFonts w:hint="eastAsia" w:ascii="宋体" w:hAnsi="宋体" w:cs="宋体"/>
          <w:szCs w:val="21"/>
        </w:rPr>
        <w:t>(6)</w:t>
      </w:r>
    </w:p>
    <w:p w14:paraId="36DCF50D">
      <w:pPr>
        <w:spacing w:line="240" w:lineRule="exact"/>
        <w:jc w:val="left"/>
        <w:rPr>
          <w:sz w:val="20"/>
          <w:szCs w:val="20"/>
        </w:rPr>
      </w:pPr>
      <w:r>
        <w:rPr>
          <w:rFonts w:hint="eastAsia" w:ascii="Times New Roman" w:hAnsi="Times New Roman" w:eastAsia="仿宋" w:cs="Times New Roman"/>
          <w:b w:val="0"/>
          <w:bCs w:val="0"/>
          <w:color w:val="000000"/>
          <w:kern w:val="2"/>
          <w:sz w:val="24"/>
          <w:szCs w:val="22"/>
          <w:lang w:val="en-US" w:eastAsia="zh-CN" w:bidi="en-US"/>
        </w:rPr>
        <w:t>式中：</w:t>
      </w:r>
      <w:r>
        <w:rPr>
          <w:rFonts w:ascii="Cambria Math" w:hAnsi="Cambria Math" w:cs="Cambria Math"/>
          <w:sz w:val="30"/>
          <w:szCs w:val="30"/>
        </w:rPr>
        <w:t>ρ</w:t>
      </w:r>
      <w:r>
        <w:rPr>
          <w:rFonts w:eastAsia="Times New Roman"/>
          <w:sz w:val="20"/>
          <w:szCs w:val="20"/>
        </w:rPr>
        <w:t>—</w:t>
      </w:r>
      <w:r>
        <w:rPr>
          <w:rFonts w:hint="eastAsia" w:ascii="Times New Roman" w:hAnsi="Times New Roman" w:eastAsia="仿宋" w:cs="Times New Roman"/>
          <w:b w:val="0"/>
          <w:bCs w:val="0"/>
          <w:color w:val="000000"/>
          <w:kern w:val="2"/>
          <w:sz w:val="24"/>
          <w:szCs w:val="22"/>
          <w:lang w:val="en-US" w:eastAsia="zh-CN" w:bidi="en-US"/>
        </w:rPr>
        <w:t>固体废物浸出液中待测铀/钍元素的质量浓度，µg/L；</w:t>
      </w:r>
    </w:p>
    <w:p w14:paraId="54A106B2">
      <w:pPr>
        <w:spacing w:line="1" w:lineRule="exact"/>
        <w:rPr>
          <w:sz w:val="20"/>
          <w:szCs w:val="20"/>
        </w:rPr>
      </w:pPr>
    </w:p>
    <w:p w14:paraId="7C0A186A">
      <w:pPr>
        <w:spacing w:line="350" w:lineRule="exact"/>
        <w:ind w:right="1964" w:firstLine="1150" w:firstLineChars="500"/>
        <w:rPr>
          <w:rFonts w:hint="eastAsia" w:ascii="Times New Roman" w:hAnsi="Times New Roman" w:eastAsia="仿宋" w:cs="Times New Roman"/>
          <w:b w:val="0"/>
          <w:bCs w:val="0"/>
          <w:color w:val="000000"/>
          <w:kern w:val="2"/>
          <w:sz w:val="24"/>
          <w:szCs w:val="22"/>
          <w:lang w:val="en-US" w:eastAsia="zh-CN" w:bidi="en-US"/>
        </w:rPr>
      </w:pPr>
      <w:r>
        <w:rPr>
          <w:rFonts w:ascii="Arial Unicode MS" w:hAnsi="Arial Unicode MS" w:eastAsia="Arial Unicode MS" w:cs="Arial Unicode MS"/>
          <w:i/>
          <w:iCs/>
          <w:sz w:val="23"/>
          <w:szCs w:val="23"/>
        </w:rPr>
        <w:t>ρ</w:t>
      </w:r>
      <w:r>
        <w:rPr>
          <w:rFonts w:eastAsia="Times New Roman"/>
          <w:i/>
          <w:iCs/>
          <w:sz w:val="27"/>
          <w:szCs w:val="27"/>
          <w:vertAlign w:val="subscript"/>
        </w:rPr>
        <w:t>x</w:t>
      </w:r>
      <w:r>
        <w:rPr>
          <w:rFonts w:eastAsia="Times New Roman"/>
          <w:szCs w:val="21"/>
        </w:rPr>
        <w:t xml:space="preserve"> —</w:t>
      </w:r>
      <w:r>
        <w:rPr>
          <w:rFonts w:hint="eastAsia" w:ascii="Times New Roman" w:hAnsi="Times New Roman" w:eastAsia="仿宋" w:cs="Times New Roman"/>
          <w:b w:val="0"/>
          <w:bCs w:val="0"/>
          <w:color w:val="000000"/>
          <w:kern w:val="2"/>
          <w:sz w:val="24"/>
          <w:szCs w:val="22"/>
          <w:lang w:val="en-US" w:eastAsia="zh-CN" w:bidi="en-US"/>
        </w:rPr>
        <w:t>由校准曲线计算测定试样中待测元素的浓度，µg/L；</w:t>
      </w:r>
    </w:p>
    <w:p w14:paraId="1E154A22">
      <w:pPr>
        <w:spacing w:line="350" w:lineRule="exact"/>
        <w:ind w:right="1964" w:firstLine="960" w:firstLineChars="400"/>
        <w:rPr>
          <w:sz w:val="20"/>
          <w:szCs w:val="20"/>
        </w:rPr>
      </w:pPr>
      <w:r>
        <w:rPr>
          <w:rFonts w:ascii="Arial Unicode MS" w:hAnsi="Arial Unicode MS" w:eastAsia="Arial Unicode MS" w:cs="Arial Unicode MS"/>
          <w:i/>
          <w:iCs/>
          <w:sz w:val="24"/>
        </w:rPr>
        <w:t>ρ</w:t>
      </w:r>
      <w:r>
        <w:rPr>
          <w:rFonts w:eastAsia="Times New Roman"/>
          <w:sz w:val="27"/>
          <w:szCs w:val="27"/>
          <w:vertAlign w:val="subscript"/>
        </w:rPr>
        <w:t>0</w:t>
      </w:r>
      <w:r>
        <w:rPr>
          <w:rFonts w:eastAsia="Times New Roman"/>
          <w:szCs w:val="21"/>
        </w:rPr>
        <w:t xml:space="preserve"> —</w:t>
      </w:r>
      <w:r>
        <w:rPr>
          <w:rFonts w:hint="eastAsia" w:ascii="Times New Roman" w:hAnsi="Times New Roman" w:eastAsia="仿宋" w:cs="Times New Roman"/>
          <w:b w:val="0"/>
          <w:bCs w:val="0"/>
          <w:color w:val="000000"/>
          <w:kern w:val="2"/>
          <w:sz w:val="24"/>
          <w:szCs w:val="22"/>
          <w:lang w:val="en-US" w:eastAsia="zh-CN" w:bidi="en-US"/>
        </w:rPr>
        <w:t>空白试样中待测元素浓度，µg/L；</w:t>
      </w:r>
    </w:p>
    <w:p w14:paraId="315AFF54">
      <w:pPr>
        <w:spacing w:line="47" w:lineRule="exact"/>
        <w:rPr>
          <w:sz w:val="20"/>
          <w:szCs w:val="20"/>
        </w:rPr>
      </w:pPr>
    </w:p>
    <w:p w14:paraId="1EC8699A">
      <w:pPr>
        <w:tabs>
          <w:tab w:val="left" w:pos="1560"/>
        </w:tabs>
        <w:spacing w:line="276" w:lineRule="exact"/>
        <w:ind w:firstLine="960" w:firstLineChars="400"/>
        <w:jc w:val="left"/>
        <w:rPr>
          <w:rFonts w:hint="eastAsia" w:ascii="Times New Roman" w:hAnsi="Times New Roman" w:eastAsia="仿宋" w:cs="Times New Roman"/>
          <w:b w:val="0"/>
          <w:bCs w:val="0"/>
          <w:color w:val="000000"/>
          <w:kern w:val="2"/>
          <w:sz w:val="24"/>
          <w:szCs w:val="22"/>
          <w:lang w:val="en-US" w:eastAsia="zh-CN" w:bidi="en-US"/>
        </w:rPr>
      </w:pPr>
      <w:r>
        <w:rPr>
          <w:rFonts w:hint="eastAsia" w:ascii="宋体" w:hAnsi="宋体" w:cs="宋体"/>
          <w:szCs w:val="21"/>
        </w:rPr>
        <w:t>V</w:t>
      </w:r>
      <w:r>
        <w:rPr>
          <w:rFonts w:hint="eastAsia" w:ascii="宋体" w:hAnsi="宋体" w:cs="宋体"/>
          <w:szCs w:val="21"/>
          <w:vertAlign w:val="subscript"/>
        </w:rPr>
        <w:t>1</w:t>
      </w:r>
      <w:r>
        <w:rPr>
          <w:rFonts w:eastAsia="Times New Roman"/>
          <w:szCs w:val="21"/>
        </w:rPr>
        <w:t>—</w:t>
      </w:r>
      <w:r>
        <w:rPr>
          <w:rFonts w:hint="eastAsia" w:ascii="Times New Roman" w:hAnsi="Times New Roman" w:eastAsia="仿宋" w:cs="Times New Roman"/>
          <w:b w:val="0"/>
          <w:bCs w:val="0"/>
          <w:color w:val="000000"/>
          <w:kern w:val="2"/>
          <w:sz w:val="24"/>
          <w:szCs w:val="22"/>
          <w:lang w:val="en-US" w:eastAsia="zh-CN" w:bidi="en-US"/>
        </w:rPr>
        <w:t>浸出液取样体积，mL；</w:t>
      </w:r>
    </w:p>
    <w:p w14:paraId="2509F420">
      <w:pPr>
        <w:ind w:firstLine="960" w:firstLineChars="400"/>
        <w:jc w:val="left"/>
        <w:rPr>
          <w:rFonts w:hint="eastAsia" w:ascii="Times New Roman" w:hAnsi="Times New Roman" w:eastAsia="仿宋" w:cs="Times New Roman"/>
          <w:b w:val="0"/>
          <w:bCs w:val="0"/>
          <w:color w:val="000000"/>
          <w:kern w:val="2"/>
          <w:sz w:val="24"/>
          <w:szCs w:val="22"/>
          <w:lang w:val="en-US" w:eastAsia="zh-CN" w:bidi="en-US"/>
        </w:rPr>
      </w:pPr>
      <w:r>
        <w:rPr>
          <w:rFonts w:hint="eastAsia" w:ascii="宋体" w:hAnsi="宋体" w:cs="宋体"/>
          <w:szCs w:val="21"/>
        </w:rPr>
        <w:t>V</w:t>
      </w:r>
      <w:r>
        <w:rPr>
          <w:rFonts w:hint="eastAsia" w:ascii="宋体" w:hAnsi="宋体" w:cs="宋体"/>
          <w:szCs w:val="21"/>
          <w:vertAlign w:val="subscript"/>
        </w:rPr>
        <w:t>2</w:t>
      </w:r>
      <w:r>
        <w:rPr>
          <w:rFonts w:eastAsia="Times New Roman"/>
          <w:szCs w:val="21"/>
        </w:rPr>
        <w:t>—</w:t>
      </w:r>
      <w:r>
        <w:rPr>
          <w:rFonts w:hint="eastAsia" w:ascii="Times New Roman" w:hAnsi="Times New Roman" w:eastAsia="仿宋" w:cs="Times New Roman"/>
          <w:b w:val="0"/>
          <w:bCs w:val="0"/>
          <w:color w:val="000000"/>
          <w:kern w:val="2"/>
          <w:sz w:val="24"/>
          <w:szCs w:val="22"/>
          <w:lang w:val="en-US" w:eastAsia="zh-CN" w:bidi="en-US"/>
        </w:rPr>
        <w:t>消解后试样的定容体积，mL。</w:t>
      </w:r>
    </w:p>
    <w:p w14:paraId="3E167505">
      <w:pPr>
        <w:jc w:val="left"/>
        <w:rPr>
          <w:rFonts w:ascii="宋体" w:hAnsi="宋体" w:cs="宋体"/>
          <w:szCs w:val="21"/>
        </w:rPr>
      </w:pPr>
    </w:p>
    <w:p w14:paraId="7BB86B01">
      <w:pPr>
        <w:tabs>
          <w:tab w:val="left" w:pos="720"/>
        </w:tabs>
        <w:spacing w:line="360" w:lineRule="auto"/>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(B)、固体废物浸出液中铀-238或钍-232活度浓度Ar'（Bq/L）按照公式（7）进行计算。</w:t>
      </w:r>
    </w:p>
    <w:p w14:paraId="11C3BFBA">
      <w:pPr>
        <w:tabs>
          <w:tab w:val="left" w:pos="720"/>
        </w:tabs>
        <w:spacing w:line="320" w:lineRule="exact"/>
        <w:rPr>
          <w:rFonts w:ascii="宋体" w:hAnsi="宋体" w:cs="宋体"/>
          <w:szCs w:val="21"/>
        </w:rPr>
      </w:pPr>
    </w:p>
    <w:p w14:paraId="4534F955">
      <w:pPr>
        <w:tabs>
          <w:tab w:val="left" w:pos="720"/>
        </w:tabs>
        <w:spacing w:line="320" w:lineRule="exact"/>
        <w:rPr>
          <w:rFonts w:ascii="华文行楷" w:hAnsi="华文行楷" w:eastAsia="华文行楷" w:cs="华文行楷"/>
          <w:sz w:val="30"/>
          <w:szCs w:val="30"/>
        </w:rPr>
      </w:pPr>
      <w:r>
        <w:rPr>
          <w:rFonts w:hint="eastAsia" w:ascii="宋体" w:hAnsi="宋体" w:cs="宋体"/>
          <w:i/>
          <w:iCs/>
          <w:sz w:val="30"/>
          <w:szCs w:val="30"/>
        </w:rPr>
        <w:t>Ar' = k</w:t>
      </w:r>
      <w:r>
        <w:rPr>
          <w:rFonts w:ascii="Arial" w:hAnsi="Arial" w:cs="Arial"/>
          <w:i/>
          <w:iCs/>
          <w:szCs w:val="21"/>
        </w:rPr>
        <w:t>×</w:t>
      </w:r>
      <w:r>
        <w:rPr>
          <w:rFonts w:ascii="Cambria Math" w:hAnsi="Cambria Math" w:cs="Cambria Math"/>
          <w:sz w:val="30"/>
          <w:szCs w:val="30"/>
        </w:rPr>
        <w:t>ρ</w:t>
      </w:r>
      <w:r>
        <w:rPr>
          <w:rFonts w:ascii="Arial" w:hAnsi="Arial" w:cs="Arial"/>
          <w:i/>
          <w:iCs/>
          <w:szCs w:val="21"/>
        </w:rPr>
        <w:t>×</w:t>
      </w:r>
      <w:r>
        <w:rPr>
          <w:rFonts w:hint="eastAsia" w:ascii="宋体" w:hAnsi="宋体" w:cs="宋体"/>
          <w:szCs w:val="21"/>
        </w:rPr>
        <w:t>10</w:t>
      </w:r>
      <w:r>
        <w:rPr>
          <w:rFonts w:hint="eastAsia" w:ascii="宋体" w:hAnsi="宋体" w:cs="宋体"/>
          <w:szCs w:val="21"/>
          <w:vertAlign w:val="superscript"/>
        </w:rPr>
        <w:t>-6</w:t>
      </w:r>
      <w:r>
        <w:rPr>
          <w:rFonts w:hint="eastAsia" w:ascii="宋体" w:hAnsi="宋体" w:eastAsia="宋体" w:cs="宋体"/>
          <w:szCs w:val="21"/>
          <w:vertAlign w:val="superscript"/>
          <w:lang w:val="en-US" w:eastAsia="zh-CN"/>
        </w:rPr>
        <w:t xml:space="preserve">                                                                  </w:t>
      </w:r>
      <w:r>
        <w:rPr>
          <w:rFonts w:hint="eastAsia" w:ascii="宋体" w:hAnsi="宋体" w:cs="宋体"/>
          <w:szCs w:val="21"/>
        </w:rPr>
        <w:t>(7)</w:t>
      </w:r>
    </w:p>
    <w:p w14:paraId="224B18EF">
      <w:pPr>
        <w:tabs>
          <w:tab w:val="left" w:pos="720"/>
        </w:tabs>
        <w:spacing w:line="320" w:lineRule="exact"/>
        <w:rPr>
          <w:rFonts w:ascii="华文行楷" w:hAnsi="华文行楷" w:eastAsia="华文行楷" w:cs="华文行楷"/>
          <w:sz w:val="30"/>
          <w:szCs w:val="30"/>
        </w:rPr>
      </w:pPr>
    </w:p>
    <w:p w14:paraId="3314D52B">
      <w:pPr>
        <w:spacing w:line="311" w:lineRule="exact"/>
        <w:jc w:val="left"/>
        <w:rPr>
          <w:szCs w:val="21"/>
        </w:rPr>
      </w:pPr>
      <w:r>
        <w:rPr>
          <w:rFonts w:hint="eastAsia" w:ascii="Times New Roman" w:hAnsi="Times New Roman" w:eastAsia="仿宋" w:cs="Times New Roman"/>
          <w:b w:val="0"/>
          <w:bCs w:val="0"/>
          <w:color w:val="000000"/>
          <w:kern w:val="2"/>
          <w:sz w:val="24"/>
          <w:szCs w:val="22"/>
          <w:lang w:val="en-US" w:eastAsia="zh-CN" w:bidi="en-US"/>
        </w:rPr>
        <w:t>式中：</w:t>
      </w:r>
      <w:r>
        <w:rPr>
          <w:rFonts w:hint="eastAsia" w:ascii="宋体" w:hAnsi="宋体" w:cs="宋体"/>
          <w:i/>
          <w:iCs/>
          <w:szCs w:val="21"/>
        </w:rPr>
        <w:t>Ar'</w:t>
      </w:r>
      <w:r>
        <w:rPr>
          <w:rFonts w:eastAsia="Times New Roman"/>
          <w:sz w:val="20"/>
          <w:szCs w:val="20"/>
        </w:rPr>
        <w:t>—</w:t>
      </w:r>
      <w:r>
        <w:rPr>
          <w:rFonts w:hint="eastAsia" w:ascii="Times New Roman" w:hAnsi="Times New Roman" w:eastAsia="仿宋" w:cs="Times New Roman"/>
          <w:b w:val="0"/>
          <w:bCs w:val="0"/>
          <w:color w:val="000000"/>
          <w:kern w:val="2"/>
          <w:sz w:val="24"/>
          <w:szCs w:val="22"/>
          <w:lang w:val="en-US" w:eastAsia="zh-CN" w:bidi="en-US"/>
        </w:rPr>
        <w:t>固体废物浸出液中铀-238/钍-232活度浓度,Bq/L；</w:t>
      </w:r>
    </w:p>
    <w:p w14:paraId="6B14F14C">
      <w:pPr>
        <w:ind w:firstLine="1200" w:firstLineChars="400"/>
        <w:jc w:val="left"/>
        <w:rPr>
          <w:rFonts w:hint="eastAsia" w:ascii="Times New Roman" w:hAnsi="Times New Roman" w:eastAsia="仿宋" w:cs="Times New Roman"/>
          <w:b w:val="0"/>
          <w:bCs w:val="0"/>
          <w:color w:val="000000"/>
          <w:kern w:val="2"/>
          <w:sz w:val="24"/>
          <w:szCs w:val="22"/>
          <w:lang w:val="en-US" w:eastAsia="zh-CN" w:bidi="en-US"/>
        </w:rPr>
      </w:pPr>
      <w:r>
        <w:rPr>
          <w:rFonts w:hint="eastAsia" w:ascii="宋体" w:hAnsi="宋体" w:cs="宋体"/>
          <w:i/>
          <w:iCs/>
          <w:sz w:val="30"/>
          <w:szCs w:val="30"/>
        </w:rPr>
        <w:t>k</w:t>
      </w:r>
      <w:r>
        <w:rPr>
          <w:rFonts w:eastAsia="Times New Roman"/>
          <w:sz w:val="20"/>
          <w:szCs w:val="20"/>
        </w:rPr>
        <w:t>—</w:t>
      </w:r>
      <w:r>
        <w:rPr>
          <w:rFonts w:hint="eastAsia" w:ascii="Times New Roman" w:hAnsi="Times New Roman" w:eastAsia="仿宋" w:cs="Times New Roman"/>
          <w:b w:val="0"/>
          <w:bCs w:val="0"/>
          <w:color w:val="000000"/>
          <w:kern w:val="2"/>
          <w:sz w:val="24"/>
          <w:szCs w:val="22"/>
          <w:lang w:val="en-US" w:eastAsia="zh-CN" w:bidi="en-US"/>
        </w:rPr>
        <w:t>常数。</w:t>
      </w:r>
    </w:p>
    <w:p w14:paraId="47EDEA2C">
      <w:pPr>
        <w:jc w:val="left"/>
        <w:rPr>
          <w:rFonts w:ascii="宋体" w:hAnsi="宋体" w:cs="宋体"/>
          <w:szCs w:val="21"/>
        </w:rPr>
      </w:pPr>
    </w:p>
    <w:p w14:paraId="06C73DDC">
      <w:pPr>
        <w:pStyle w:val="2"/>
        <w:bidi w:val="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r>
        <w:rPr>
          <w:rFonts w:hint="eastAsia" w:ascii="宋体" w:hAnsi="宋体" w:cs="宋体"/>
          <w:sz w:val="28"/>
          <w:szCs w:val="28"/>
          <w:lang w:val="en-US" w:eastAsia="zh-CN"/>
        </w:rPr>
        <w:t>7</w:t>
      </w:r>
      <w:r>
        <w:rPr>
          <w:rFonts w:hint="eastAsia" w:ascii="宋体" w:hAnsi="宋体" w:eastAsia="宋体" w:cs="宋体"/>
          <w:sz w:val="28"/>
          <w:szCs w:val="28"/>
          <w:lang w:val="en-US" w:eastAsia="zh-CN"/>
        </w:rPr>
        <w:t>.3结果表示</w:t>
      </w:r>
    </w:p>
    <w:p w14:paraId="50A74BCF">
      <w:pPr>
        <w:spacing w:line="119" w:lineRule="exact"/>
        <w:rPr>
          <w:sz w:val="20"/>
          <w:szCs w:val="20"/>
        </w:rPr>
      </w:pPr>
    </w:p>
    <w:p w14:paraId="3B918F64">
      <w:pPr>
        <w:ind w:firstLine="480" w:firstLineChars="200"/>
        <w:jc w:val="left"/>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对于固体废物和固体废物浸出液，测定结果小数位数与方法检出限保持一致，最多保留三位有效数字。</w:t>
      </w:r>
    </w:p>
    <w:p w14:paraId="35956C75">
      <w:pPr>
        <w:pStyle w:val="2"/>
        <w:numPr>
          <w:ilvl w:val="0"/>
          <w:numId w:val="0"/>
        </w:numPr>
        <w:bidi w:val="0"/>
        <w:rPr>
          <w:rFonts w:hint="eastAsia" w:ascii="Times New Roman" w:hAnsi="Times New Roman" w:eastAsia="宋体" w:cs="Times New Roman"/>
          <w:b/>
          <w:bCs w:val="0"/>
          <w:kern w:val="2"/>
          <w:sz w:val="30"/>
          <w:szCs w:val="30"/>
          <w:lang w:val="en-US" w:eastAsia="zh-CN" w:bidi="ar-SA"/>
        </w:rPr>
      </w:pPr>
      <w:r>
        <w:rPr>
          <w:rFonts w:hint="eastAsia" w:ascii="宋体" w:hAnsi="宋体" w:eastAsia="宋体" w:cs="宋体"/>
          <w:b/>
          <w:bCs w:val="0"/>
          <w:kern w:val="2"/>
          <w:sz w:val="30"/>
          <w:szCs w:val="30"/>
          <w:highlight w:val="none"/>
          <w:lang w:val="en-US" w:eastAsia="zh-CN" w:bidi="ar-SA"/>
        </w:rPr>
        <w:t>6</w:t>
      </w:r>
      <w:r>
        <w:rPr>
          <w:rFonts w:hint="eastAsia" w:ascii="宋体" w:hAnsi="宋体" w:cs="宋体"/>
          <w:b/>
          <w:bCs w:val="0"/>
          <w:kern w:val="2"/>
          <w:sz w:val="30"/>
          <w:szCs w:val="30"/>
          <w:highlight w:val="none"/>
          <w:lang w:val="en-US" w:eastAsia="zh-CN" w:bidi="ar-SA"/>
        </w:rPr>
        <w:t>方法</w:t>
      </w:r>
      <w:r>
        <w:rPr>
          <w:rFonts w:hint="eastAsia" w:ascii="宋体" w:hAnsi="宋体" w:eastAsia="宋体" w:cs="宋体"/>
          <w:b/>
          <w:bCs w:val="0"/>
          <w:kern w:val="2"/>
          <w:sz w:val="30"/>
          <w:szCs w:val="30"/>
          <w:highlight w:val="none"/>
          <w:lang w:val="en-US" w:eastAsia="zh-CN" w:bidi="ar-SA"/>
        </w:rPr>
        <w:t>验证结果</w:t>
      </w:r>
    </w:p>
    <w:p w14:paraId="05BC1A33">
      <w:pPr>
        <w:pStyle w:val="12"/>
        <w:spacing w:line="360" w:lineRule="auto"/>
        <w:rPr>
          <w:rFonts w:hint="eastAsia" w:ascii="仿宋" w:hAnsi="仿宋" w:eastAsia="仿宋" w:cs="仿宋"/>
          <w:sz w:val="24"/>
          <w:szCs w:val="24"/>
        </w:rPr>
      </w:pPr>
      <w:r>
        <w:rPr>
          <w:rFonts w:hint="eastAsia" w:ascii="仿宋" w:hAnsi="仿宋" w:eastAsia="仿宋" w:cs="仿宋"/>
          <w:sz w:val="24"/>
          <w:szCs w:val="24"/>
        </w:rPr>
        <w:t>对待审批地方标准</w:t>
      </w:r>
      <w:r>
        <w:rPr>
          <w:rFonts w:hint="eastAsia" w:ascii="仿宋" w:hAnsi="仿宋" w:eastAsia="仿宋" w:cs="仿宋"/>
          <w:color w:val="000000"/>
          <w:sz w:val="24"/>
          <w:szCs w:val="24"/>
          <w:lang w:val="en-US" w:eastAsia="zh-CN" w:bidi="en-US"/>
        </w:rPr>
        <w:t>《固体废物 铀 钍的测定 电感耦合等离子体质谱法》</w:t>
      </w:r>
      <w:r>
        <w:rPr>
          <w:rFonts w:hint="eastAsia" w:ascii="仿宋" w:hAnsi="仿宋" w:eastAsia="仿宋" w:cs="仿宋"/>
          <w:sz w:val="24"/>
          <w:szCs w:val="24"/>
        </w:rPr>
        <w:t>进行验证，当固体废物样品量在0.05g时，</w:t>
      </w:r>
      <w:r>
        <w:rPr>
          <w:rFonts w:hint="eastAsia" w:ascii="仿宋" w:hAnsi="仿宋" w:eastAsia="仿宋" w:cs="仿宋"/>
          <w:sz w:val="24"/>
          <w:szCs w:val="24"/>
          <w:lang w:eastAsia="zh-CN"/>
        </w:rPr>
        <w:t>固体废物铀的检出限</w:t>
      </w:r>
      <w:r>
        <w:rPr>
          <w:rFonts w:hint="eastAsia" w:ascii="仿宋" w:hAnsi="仿宋" w:eastAsia="仿宋" w:cs="仿宋"/>
          <w:sz w:val="24"/>
          <w:szCs w:val="24"/>
          <w:lang w:val="en-US" w:eastAsia="zh-CN"/>
        </w:rPr>
        <w:t>0.008</w:t>
      </w:r>
      <w:r>
        <w:rPr>
          <w:rFonts w:hint="eastAsia" w:ascii="仿宋" w:hAnsi="仿宋" w:eastAsia="仿宋" w:cs="仿宋"/>
          <w:sz w:val="24"/>
          <w:szCs w:val="24"/>
        </w:rPr>
        <w:t>mg/kg</w:t>
      </w:r>
      <w:r>
        <w:rPr>
          <w:rFonts w:hint="eastAsia" w:ascii="仿宋" w:hAnsi="仿宋" w:eastAsia="仿宋" w:cs="仿宋"/>
          <w:sz w:val="24"/>
          <w:szCs w:val="24"/>
          <w:lang w:eastAsia="zh-CN"/>
        </w:rPr>
        <w:t>，测定下限</w:t>
      </w:r>
      <w:r>
        <w:rPr>
          <w:rFonts w:hint="eastAsia" w:ascii="仿宋" w:hAnsi="仿宋" w:eastAsia="仿宋" w:cs="仿宋"/>
          <w:sz w:val="24"/>
          <w:szCs w:val="24"/>
          <w:lang w:val="en-US" w:eastAsia="zh-CN"/>
        </w:rPr>
        <w:t>0.03</w:t>
      </w:r>
      <w:r>
        <w:rPr>
          <w:rFonts w:hint="eastAsia" w:ascii="仿宋" w:hAnsi="仿宋" w:eastAsia="仿宋" w:cs="仿宋"/>
          <w:sz w:val="24"/>
          <w:szCs w:val="24"/>
        </w:rPr>
        <w:t>mg/kg</w:t>
      </w:r>
      <w:r>
        <w:rPr>
          <w:rFonts w:hint="eastAsia" w:ascii="仿宋" w:hAnsi="仿宋" w:eastAsia="仿宋" w:cs="仿宋"/>
          <w:sz w:val="24"/>
          <w:szCs w:val="24"/>
          <w:lang w:eastAsia="zh-CN"/>
        </w:rPr>
        <w:t>；钍的检出限</w:t>
      </w:r>
      <w:r>
        <w:rPr>
          <w:rFonts w:hint="eastAsia" w:ascii="仿宋" w:hAnsi="仿宋" w:eastAsia="仿宋" w:cs="仿宋"/>
          <w:sz w:val="24"/>
          <w:szCs w:val="24"/>
          <w:lang w:val="en-US" w:eastAsia="zh-CN"/>
        </w:rPr>
        <w:t>0.2</w:t>
      </w:r>
      <w:r>
        <w:rPr>
          <w:rFonts w:hint="eastAsia" w:ascii="仿宋" w:hAnsi="仿宋" w:eastAsia="仿宋" w:cs="仿宋"/>
          <w:sz w:val="24"/>
          <w:szCs w:val="24"/>
        </w:rPr>
        <w:t>mg/kg</w:t>
      </w:r>
      <w:r>
        <w:rPr>
          <w:rFonts w:hint="eastAsia" w:ascii="仿宋" w:hAnsi="仿宋" w:eastAsia="仿宋" w:cs="仿宋"/>
          <w:sz w:val="24"/>
          <w:szCs w:val="24"/>
          <w:lang w:eastAsia="zh-CN"/>
        </w:rPr>
        <w:t>，测定下限</w:t>
      </w:r>
      <w:r>
        <w:rPr>
          <w:rFonts w:hint="eastAsia" w:ascii="仿宋" w:hAnsi="仿宋" w:eastAsia="仿宋" w:cs="仿宋"/>
          <w:sz w:val="24"/>
          <w:szCs w:val="24"/>
          <w:lang w:val="en-US" w:eastAsia="zh-CN"/>
        </w:rPr>
        <w:t>0.6</w:t>
      </w:r>
      <w:r>
        <w:rPr>
          <w:rFonts w:hint="eastAsia" w:ascii="仿宋" w:hAnsi="仿宋" w:eastAsia="仿宋" w:cs="仿宋"/>
          <w:sz w:val="24"/>
          <w:szCs w:val="24"/>
        </w:rPr>
        <w:t>mg/kg。</w:t>
      </w:r>
    </w:p>
    <w:p w14:paraId="6EB0108B">
      <w:pPr>
        <w:pStyle w:val="12"/>
        <w:spacing w:line="360" w:lineRule="auto"/>
        <w:rPr>
          <w:rFonts w:hint="eastAsia" w:ascii="仿宋" w:hAnsi="仿宋" w:eastAsia="仿宋" w:cs="仿宋"/>
          <w:sz w:val="24"/>
          <w:szCs w:val="24"/>
          <w:lang w:eastAsia="zh-CN"/>
        </w:rPr>
      </w:pPr>
      <w:r>
        <w:rPr>
          <w:rFonts w:hint="eastAsia" w:ascii="仿宋" w:hAnsi="仿宋" w:eastAsia="仿宋" w:cs="仿宋"/>
          <w:sz w:val="24"/>
          <w:szCs w:val="24"/>
        </w:rPr>
        <w:t>当固体废物浸出液取样体积25mL时，</w:t>
      </w:r>
      <w:r>
        <w:rPr>
          <w:rFonts w:hint="eastAsia" w:ascii="仿宋" w:hAnsi="仿宋" w:eastAsia="仿宋" w:cs="仿宋"/>
          <w:sz w:val="24"/>
          <w:szCs w:val="24"/>
          <w:lang w:eastAsia="zh-CN"/>
        </w:rPr>
        <w:t>固体废物浸出液铀的检出限</w:t>
      </w:r>
      <w:r>
        <w:rPr>
          <w:rFonts w:hint="eastAsia" w:ascii="仿宋" w:hAnsi="仿宋" w:eastAsia="仿宋" w:cs="仿宋"/>
          <w:sz w:val="24"/>
          <w:szCs w:val="24"/>
          <w:lang w:val="en-US" w:eastAsia="zh-CN"/>
        </w:rPr>
        <w:t>0.009</w:t>
      </w:r>
      <w:r>
        <w:rPr>
          <w:rFonts w:hint="eastAsia" w:ascii="仿宋" w:hAnsi="仿宋" w:eastAsia="仿宋" w:cs="仿宋"/>
          <w:sz w:val="24"/>
          <w:szCs w:val="24"/>
        </w:rPr>
        <w:t>μg/L</w:t>
      </w:r>
      <w:r>
        <w:rPr>
          <w:rFonts w:hint="eastAsia" w:ascii="仿宋" w:hAnsi="仿宋" w:eastAsia="仿宋" w:cs="仿宋"/>
          <w:sz w:val="24"/>
          <w:szCs w:val="24"/>
          <w:lang w:eastAsia="zh-CN"/>
        </w:rPr>
        <w:t>，测定下限</w:t>
      </w:r>
      <w:r>
        <w:rPr>
          <w:rFonts w:hint="eastAsia" w:ascii="仿宋" w:hAnsi="仿宋" w:eastAsia="仿宋" w:cs="仿宋"/>
          <w:sz w:val="24"/>
          <w:szCs w:val="24"/>
          <w:lang w:val="en-US" w:eastAsia="zh-CN"/>
        </w:rPr>
        <w:t>0.03</w:t>
      </w:r>
      <w:r>
        <w:rPr>
          <w:rFonts w:hint="eastAsia" w:ascii="仿宋" w:hAnsi="仿宋" w:eastAsia="仿宋" w:cs="仿宋"/>
          <w:sz w:val="24"/>
          <w:szCs w:val="24"/>
        </w:rPr>
        <w:t>μg/L</w:t>
      </w:r>
      <w:r>
        <w:rPr>
          <w:rFonts w:hint="eastAsia" w:ascii="仿宋" w:hAnsi="仿宋" w:eastAsia="仿宋" w:cs="仿宋"/>
          <w:sz w:val="24"/>
          <w:szCs w:val="24"/>
          <w:lang w:eastAsia="zh-CN"/>
        </w:rPr>
        <w:t>；钍的检出限</w:t>
      </w:r>
      <w:r>
        <w:rPr>
          <w:rFonts w:hint="eastAsia" w:ascii="仿宋" w:hAnsi="仿宋" w:eastAsia="仿宋" w:cs="仿宋"/>
          <w:sz w:val="24"/>
          <w:szCs w:val="24"/>
          <w:lang w:val="en-US" w:eastAsia="zh-CN"/>
        </w:rPr>
        <w:t>0.2</w:t>
      </w:r>
      <w:r>
        <w:rPr>
          <w:rFonts w:hint="eastAsia" w:ascii="仿宋" w:hAnsi="仿宋" w:eastAsia="仿宋" w:cs="仿宋"/>
          <w:sz w:val="24"/>
          <w:szCs w:val="24"/>
        </w:rPr>
        <w:t>μg/L</w:t>
      </w:r>
      <w:r>
        <w:rPr>
          <w:rFonts w:hint="eastAsia" w:ascii="仿宋" w:hAnsi="仿宋" w:eastAsia="仿宋" w:cs="仿宋"/>
          <w:sz w:val="24"/>
          <w:szCs w:val="24"/>
          <w:lang w:eastAsia="zh-CN"/>
        </w:rPr>
        <w:t>，测定下限</w:t>
      </w:r>
      <w:r>
        <w:rPr>
          <w:rFonts w:hint="eastAsia" w:ascii="仿宋" w:hAnsi="仿宋" w:eastAsia="仿宋" w:cs="仿宋"/>
          <w:sz w:val="24"/>
          <w:szCs w:val="24"/>
          <w:lang w:val="en-US" w:eastAsia="zh-CN"/>
        </w:rPr>
        <w:t>0.6</w:t>
      </w:r>
      <w:r>
        <w:rPr>
          <w:rFonts w:hint="eastAsia" w:ascii="仿宋" w:hAnsi="仿宋" w:eastAsia="仿宋" w:cs="仿宋"/>
          <w:sz w:val="24"/>
          <w:szCs w:val="24"/>
        </w:rPr>
        <w:t>μg/L</w:t>
      </w:r>
      <w:r>
        <w:rPr>
          <w:rFonts w:hint="eastAsia" w:ascii="仿宋" w:hAnsi="仿宋" w:eastAsia="仿宋" w:cs="仿宋"/>
          <w:sz w:val="24"/>
          <w:szCs w:val="24"/>
          <w:lang w:eastAsia="zh-CN"/>
        </w:rPr>
        <w:t>。</w:t>
      </w:r>
    </w:p>
    <w:p w14:paraId="3DA69767">
      <w:pPr>
        <w:spacing w:line="360" w:lineRule="auto"/>
        <w:ind w:right="181" w:firstLine="480" w:firstLineChars="200"/>
        <w:jc w:val="left"/>
        <w:rPr>
          <w:rFonts w:hint="eastAsia" w:ascii="仿宋" w:hAnsi="仿宋" w:eastAsia="仿宋" w:cs="仿宋"/>
          <w:sz w:val="24"/>
          <w:szCs w:val="24"/>
          <w:lang w:eastAsia="zh-CN"/>
        </w:rPr>
      </w:pPr>
      <w:r>
        <w:rPr>
          <w:rFonts w:hint="eastAsia" w:ascii="仿宋" w:hAnsi="仿宋" w:eastAsia="仿宋" w:cs="仿宋"/>
          <w:kern w:val="0"/>
          <w:sz w:val="24"/>
          <w:szCs w:val="24"/>
        </w:rPr>
        <w:t>六家实验室分别对</w:t>
      </w:r>
      <w:r>
        <w:rPr>
          <w:rFonts w:hint="eastAsia" w:ascii="仿宋" w:hAnsi="仿宋" w:eastAsia="仿宋" w:cs="仿宋"/>
          <w:sz w:val="24"/>
          <w:szCs w:val="24"/>
          <w:lang w:val="en-US" w:eastAsia="zh-CN"/>
        </w:rPr>
        <w:t>含铀68.2</w:t>
      </w:r>
      <w:r>
        <w:rPr>
          <w:rFonts w:hint="eastAsia" w:ascii="仿宋" w:hAnsi="仿宋" w:eastAsia="仿宋" w:cs="仿宋"/>
          <w:sz w:val="24"/>
          <w:szCs w:val="24"/>
        </w:rPr>
        <w:t xml:space="preserve"> mg/kg</w:t>
      </w:r>
      <w:r>
        <w:rPr>
          <w:rFonts w:hint="eastAsia" w:ascii="仿宋" w:hAnsi="仿宋" w:eastAsia="仿宋" w:cs="仿宋"/>
          <w:sz w:val="24"/>
          <w:szCs w:val="24"/>
          <w:lang w:eastAsia="zh-CN"/>
        </w:rPr>
        <w:t>的固体废物进行</w:t>
      </w:r>
      <w:r>
        <w:rPr>
          <w:rFonts w:hint="eastAsia" w:ascii="仿宋" w:hAnsi="仿宋" w:eastAsia="仿宋" w:cs="仿宋"/>
          <w:sz w:val="24"/>
          <w:szCs w:val="24"/>
          <w:lang w:val="en-US" w:eastAsia="zh-CN"/>
        </w:rPr>
        <w:t>6次重复测定，实验室内相对偏差</w:t>
      </w:r>
      <w:r>
        <w:rPr>
          <w:rFonts w:hint="eastAsia" w:ascii="仿宋" w:hAnsi="仿宋" w:eastAsia="仿宋" w:cs="仿宋"/>
          <w:sz w:val="24"/>
          <w:szCs w:val="24"/>
          <w:vertAlign w:val="baseline"/>
          <w:lang w:val="en-US" w:eastAsia="zh-CN"/>
        </w:rPr>
        <w:t>RSD为</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0.46%</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4.3%，实验室间相对偏差</w:t>
      </w:r>
      <w:r>
        <w:rPr>
          <w:rFonts w:hint="eastAsia" w:ascii="仿宋" w:hAnsi="仿宋" w:eastAsia="仿宋" w:cs="仿宋"/>
          <w:sz w:val="24"/>
          <w:szCs w:val="24"/>
          <w:vertAlign w:val="baseline"/>
          <w:lang w:val="en-US" w:eastAsia="zh-CN"/>
        </w:rPr>
        <w:t>RSD'为</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3.1%，</w:t>
      </w:r>
      <w:r>
        <w:rPr>
          <w:rFonts w:hint="eastAsia" w:ascii="仿宋" w:hAnsi="仿宋" w:eastAsia="仿宋" w:cs="仿宋"/>
          <w:sz w:val="24"/>
          <w:szCs w:val="24"/>
          <w:vertAlign w:val="baseline"/>
          <w:lang w:eastAsia="zh-CN"/>
        </w:rPr>
        <w:t>重复性限</w:t>
      </w:r>
      <w:r>
        <w:rPr>
          <w:rFonts w:hint="eastAsia" w:ascii="仿宋" w:hAnsi="仿宋" w:eastAsia="仿宋" w:cs="仿宋"/>
          <w:sz w:val="24"/>
          <w:szCs w:val="24"/>
          <w:vertAlign w:val="baseline"/>
          <w:lang w:val="en-US" w:eastAsia="zh-CN"/>
        </w:rPr>
        <w:t>r为4.5</w:t>
      </w:r>
      <w:r>
        <w:rPr>
          <w:rFonts w:hint="eastAsia" w:ascii="仿宋" w:hAnsi="仿宋" w:eastAsia="仿宋" w:cs="仿宋"/>
          <w:sz w:val="24"/>
          <w:szCs w:val="24"/>
        </w:rPr>
        <w:t>mg/kg</w:t>
      </w:r>
      <w:r>
        <w:rPr>
          <w:rFonts w:hint="eastAsia" w:ascii="仿宋" w:hAnsi="仿宋" w:eastAsia="仿宋" w:cs="仿宋"/>
          <w:sz w:val="24"/>
          <w:szCs w:val="24"/>
          <w:vertAlign w:val="baseline"/>
          <w:lang w:val="en-US" w:eastAsia="zh-CN"/>
        </w:rPr>
        <w:t>，再现性限R为</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7.2</w:t>
      </w:r>
      <w:r>
        <w:rPr>
          <w:rFonts w:hint="eastAsia" w:ascii="仿宋" w:hAnsi="仿宋" w:eastAsia="仿宋" w:cs="仿宋"/>
          <w:sz w:val="24"/>
          <w:szCs w:val="24"/>
        </w:rPr>
        <w:t xml:space="preserve"> mg/kg</w:t>
      </w:r>
      <w:r>
        <w:rPr>
          <w:rFonts w:hint="eastAsia" w:ascii="仿宋" w:hAnsi="仿宋" w:eastAsia="仿宋" w:cs="仿宋"/>
          <w:sz w:val="24"/>
          <w:szCs w:val="24"/>
          <w:lang w:eastAsia="zh-CN"/>
        </w:rPr>
        <w:t>。</w:t>
      </w:r>
    </w:p>
    <w:p w14:paraId="43FFBE12">
      <w:pPr>
        <w:spacing w:line="360" w:lineRule="auto"/>
        <w:ind w:right="144" w:firstLine="480" w:firstLineChars="200"/>
        <w:rPr>
          <w:rFonts w:hint="eastAsia" w:ascii="仿宋" w:hAnsi="仿宋" w:eastAsia="仿宋" w:cs="仿宋"/>
          <w:sz w:val="24"/>
          <w:szCs w:val="24"/>
          <w:lang w:eastAsia="zh-CN"/>
        </w:rPr>
      </w:pPr>
      <w:r>
        <w:rPr>
          <w:rFonts w:hint="eastAsia" w:ascii="仿宋" w:hAnsi="仿宋" w:eastAsia="仿宋" w:cs="仿宋"/>
          <w:kern w:val="0"/>
          <w:sz w:val="24"/>
          <w:szCs w:val="24"/>
        </w:rPr>
        <w:t>六家实验室分别</w:t>
      </w:r>
      <w:r>
        <w:rPr>
          <w:rFonts w:hint="eastAsia" w:ascii="仿宋" w:hAnsi="仿宋" w:eastAsia="仿宋" w:cs="仿宋"/>
          <w:kern w:val="0"/>
          <w:sz w:val="24"/>
          <w:szCs w:val="24"/>
          <w:lang w:eastAsia="zh-CN"/>
        </w:rPr>
        <w:t>对</w:t>
      </w:r>
      <w:r>
        <w:rPr>
          <w:rFonts w:hint="eastAsia" w:ascii="仿宋" w:hAnsi="仿宋" w:eastAsia="仿宋" w:cs="仿宋"/>
          <w:sz w:val="24"/>
          <w:szCs w:val="24"/>
          <w:lang w:val="en-US" w:eastAsia="zh-CN"/>
        </w:rPr>
        <w:t>含</w:t>
      </w:r>
      <w:r>
        <w:rPr>
          <w:rFonts w:hint="eastAsia" w:ascii="仿宋" w:hAnsi="仿宋" w:eastAsia="仿宋" w:cs="仿宋"/>
          <w:sz w:val="24"/>
          <w:szCs w:val="24"/>
          <w:lang w:eastAsia="zh-CN"/>
        </w:rPr>
        <w:t>钍</w:t>
      </w:r>
      <w:r>
        <w:rPr>
          <w:rFonts w:hint="eastAsia" w:ascii="仿宋" w:hAnsi="仿宋" w:eastAsia="仿宋" w:cs="仿宋"/>
          <w:sz w:val="24"/>
          <w:szCs w:val="24"/>
          <w:lang w:val="en-US" w:eastAsia="zh-CN"/>
        </w:rPr>
        <w:t>19.0</w:t>
      </w:r>
      <w:r>
        <w:rPr>
          <w:rFonts w:hint="eastAsia" w:ascii="仿宋" w:hAnsi="仿宋" w:eastAsia="仿宋" w:cs="仿宋"/>
          <w:sz w:val="24"/>
          <w:szCs w:val="24"/>
        </w:rPr>
        <w:t xml:space="preserve">mg/kg </w:t>
      </w:r>
      <w:r>
        <w:rPr>
          <w:rFonts w:hint="eastAsia" w:ascii="仿宋" w:hAnsi="仿宋" w:eastAsia="仿宋" w:cs="仿宋"/>
          <w:sz w:val="24"/>
          <w:szCs w:val="24"/>
          <w:lang w:eastAsia="zh-CN"/>
        </w:rPr>
        <w:t>的固体废物进行</w:t>
      </w:r>
      <w:r>
        <w:rPr>
          <w:rFonts w:hint="eastAsia" w:ascii="仿宋" w:hAnsi="仿宋" w:eastAsia="仿宋" w:cs="仿宋"/>
          <w:sz w:val="24"/>
          <w:szCs w:val="24"/>
          <w:lang w:val="en-US" w:eastAsia="zh-CN"/>
        </w:rPr>
        <w:t>6次重复测定，实验室内相对偏差</w:t>
      </w:r>
      <w:r>
        <w:rPr>
          <w:rFonts w:hint="eastAsia" w:ascii="仿宋" w:hAnsi="仿宋" w:eastAsia="仿宋" w:cs="仿宋"/>
          <w:sz w:val="24"/>
          <w:szCs w:val="24"/>
          <w:vertAlign w:val="baseline"/>
          <w:lang w:val="en-US" w:eastAsia="zh-CN"/>
        </w:rPr>
        <w:t>RSD为</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0.56%</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6.1%，实验室间相对偏差</w:t>
      </w:r>
      <w:r>
        <w:rPr>
          <w:rFonts w:hint="eastAsia" w:ascii="仿宋" w:hAnsi="仿宋" w:eastAsia="仿宋" w:cs="仿宋"/>
          <w:sz w:val="24"/>
          <w:szCs w:val="24"/>
          <w:vertAlign w:val="baseline"/>
          <w:lang w:val="en-US" w:eastAsia="zh-CN"/>
        </w:rPr>
        <w:t>RSD'为</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6.6%，</w:t>
      </w:r>
      <w:r>
        <w:rPr>
          <w:rFonts w:hint="eastAsia" w:ascii="仿宋" w:hAnsi="仿宋" w:eastAsia="仿宋" w:cs="仿宋"/>
          <w:sz w:val="24"/>
          <w:szCs w:val="24"/>
          <w:vertAlign w:val="baseline"/>
          <w:lang w:eastAsia="zh-CN"/>
        </w:rPr>
        <w:t>重复性限</w:t>
      </w:r>
      <w:r>
        <w:rPr>
          <w:rFonts w:hint="eastAsia" w:ascii="仿宋" w:hAnsi="仿宋" w:eastAsia="仿宋" w:cs="仿宋"/>
          <w:sz w:val="24"/>
          <w:szCs w:val="24"/>
          <w:vertAlign w:val="baseline"/>
          <w:lang w:val="en-US" w:eastAsia="zh-CN"/>
        </w:rPr>
        <w:t>r为2.0</w:t>
      </w:r>
      <w:r>
        <w:rPr>
          <w:rFonts w:hint="eastAsia" w:ascii="仿宋" w:hAnsi="仿宋" w:eastAsia="仿宋" w:cs="仿宋"/>
          <w:sz w:val="24"/>
          <w:szCs w:val="24"/>
        </w:rPr>
        <w:t>mg/kg</w:t>
      </w:r>
      <w:r>
        <w:rPr>
          <w:rFonts w:hint="eastAsia" w:ascii="仿宋" w:hAnsi="仿宋" w:eastAsia="仿宋" w:cs="仿宋"/>
          <w:sz w:val="24"/>
          <w:szCs w:val="24"/>
          <w:vertAlign w:val="baseline"/>
          <w:lang w:val="en-US" w:eastAsia="zh-CN"/>
        </w:rPr>
        <w:t>，再现性限R为</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2.9</w:t>
      </w:r>
      <w:r>
        <w:rPr>
          <w:rFonts w:hint="eastAsia" w:ascii="仿宋" w:hAnsi="仿宋" w:eastAsia="仿宋" w:cs="仿宋"/>
          <w:sz w:val="24"/>
          <w:szCs w:val="24"/>
        </w:rPr>
        <w:t>mg/kg</w:t>
      </w:r>
      <w:r>
        <w:rPr>
          <w:rFonts w:hint="eastAsia" w:ascii="仿宋" w:hAnsi="仿宋" w:eastAsia="仿宋" w:cs="仿宋"/>
          <w:sz w:val="24"/>
          <w:szCs w:val="24"/>
          <w:lang w:eastAsia="zh-CN"/>
        </w:rPr>
        <w:t>。</w:t>
      </w:r>
    </w:p>
    <w:p w14:paraId="68D4488D">
      <w:pPr>
        <w:spacing w:line="360" w:lineRule="auto"/>
        <w:ind w:right="144" w:firstLine="480" w:firstLineChars="200"/>
        <w:rPr>
          <w:rFonts w:hint="eastAsia" w:ascii="仿宋" w:hAnsi="仿宋" w:eastAsia="仿宋" w:cs="仿宋"/>
          <w:sz w:val="24"/>
          <w:szCs w:val="24"/>
          <w:lang w:eastAsia="zh-CN"/>
        </w:rPr>
      </w:pPr>
      <w:r>
        <w:rPr>
          <w:rFonts w:hint="eastAsia" w:ascii="仿宋" w:hAnsi="仿宋" w:eastAsia="仿宋" w:cs="仿宋"/>
          <w:kern w:val="0"/>
          <w:sz w:val="24"/>
          <w:szCs w:val="24"/>
        </w:rPr>
        <w:t>六家实验室分别</w:t>
      </w:r>
      <w:r>
        <w:rPr>
          <w:rFonts w:hint="eastAsia" w:ascii="仿宋" w:hAnsi="仿宋" w:eastAsia="仿宋" w:cs="仿宋"/>
          <w:sz w:val="24"/>
          <w:szCs w:val="24"/>
          <w:lang w:val="en-US" w:eastAsia="zh-CN"/>
        </w:rPr>
        <w:t>对含铀112</w:t>
      </w:r>
      <w:r>
        <w:rPr>
          <w:rFonts w:hint="eastAsia" w:ascii="仿宋" w:hAnsi="仿宋" w:eastAsia="仿宋" w:cs="仿宋"/>
          <w:sz w:val="24"/>
          <w:szCs w:val="24"/>
        </w:rPr>
        <w:t>μg/L</w:t>
      </w:r>
      <w:r>
        <w:rPr>
          <w:rFonts w:hint="eastAsia" w:ascii="仿宋" w:hAnsi="仿宋" w:eastAsia="仿宋" w:cs="仿宋"/>
          <w:sz w:val="24"/>
          <w:szCs w:val="24"/>
          <w:lang w:eastAsia="zh-CN"/>
        </w:rPr>
        <w:t>的固体废物浸出液进行</w:t>
      </w:r>
      <w:r>
        <w:rPr>
          <w:rFonts w:hint="eastAsia" w:ascii="仿宋" w:hAnsi="仿宋" w:eastAsia="仿宋" w:cs="仿宋"/>
          <w:sz w:val="24"/>
          <w:szCs w:val="24"/>
          <w:lang w:val="en-US" w:eastAsia="zh-CN"/>
        </w:rPr>
        <w:t>6次重复测定，实验室内相对偏差</w:t>
      </w:r>
      <w:r>
        <w:rPr>
          <w:rFonts w:hint="eastAsia" w:ascii="仿宋" w:hAnsi="仿宋" w:eastAsia="仿宋" w:cs="仿宋"/>
          <w:sz w:val="24"/>
          <w:szCs w:val="24"/>
          <w:vertAlign w:val="baseline"/>
          <w:lang w:val="en-US" w:eastAsia="zh-CN"/>
        </w:rPr>
        <w:t>RSD为</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0.80%</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3.9%，实验室间相对偏差</w:t>
      </w:r>
      <w:r>
        <w:rPr>
          <w:rFonts w:hint="eastAsia" w:ascii="仿宋" w:hAnsi="仿宋" w:eastAsia="仿宋" w:cs="仿宋"/>
          <w:sz w:val="24"/>
          <w:szCs w:val="24"/>
          <w:vertAlign w:val="baseline"/>
          <w:lang w:val="en-US" w:eastAsia="zh-CN"/>
        </w:rPr>
        <w:t>RSD'为</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4.0%，</w:t>
      </w:r>
      <w:r>
        <w:rPr>
          <w:rFonts w:hint="eastAsia" w:ascii="仿宋" w:hAnsi="仿宋" w:eastAsia="仿宋" w:cs="仿宋"/>
          <w:sz w:val="24"/>
          <w:szCs w:val="24"/>
          <w:vertAlign w:val="baseline"/>
          <w:lang w:eastAsia="zh-CN"/>
        </w:rPr>
        <w:t>重复性限</w:t>
      </w:r>
      <w:r>
        <w:rPr>
          <w:rFonts w:hint="eastAsia" w:ascii="仿宋" w:hAnsi="仿宋" w:eastAsia="仿宋" w:cs="仿宋"/>
          <w:sz w:val="24"/>
          <w:szCs w:val="24"/>
          <w:vertAlign w:val="baseline"/>
          <w:lang w:val="en-US" w:eastAsia="zh-CN"/>
        </w:rPr>
        <w:t>r为6.5</w:t>
      </w:r>
      <w:r>
        <w:rPr>
          <w:rFonts w:hint="eastAsia" w:ascii="仿宋" w:hAnsi="仿宋" w:eastAsia="仿宋" w:cs="仿宋"/>
          <w:sz w:val="24"/>
          <w:szCs w:val="24"/>
        </w:rPr>
        <w:t>μg/L</w:t>
      </w:r>
      <w:r>
        <w:rPr>
          <w:rFonts w:hint="eastAsia" w:ascii="仿宋" w:hAnsi="仿宋" w:eastAsia="仿宋" w:cs="仿宋"/>
          <w:sz w:val="24"/>
          <w:szCs w:val="24"/>
          <w:vertAlign w:val="baseline"/>
          <w:lang w:val="en-US" w:eastAsia="zh-CN"/>
        </w:rPr>
        <w:t>，再现性限R为14</w:t>
      </w:r>
      <w:r>
        <w:rPr>
          <w:rFonts w:hint="eastAsia" w:ascii="仿宋" w:hAnsi="仿宋" w:eastAsia="仿宋" w:cs="仿宋"/>
          <w:sz w:val="24"/>
          <w:szCs w:val="24"/>
        </w:rPr>
        <w:t xml:space="preserve"> μg/L</w:t>
      </w:r>
      <w:r>
        <w:rPr>
          <w:rFonts w:hint="eastAsia" w:ascii="仿宋" w:hAnsi="仿宋" w:eastAsia="仿宋" w:cs="仿宋"/>
          <w:sz w:val="24"/>
          <w:szCs w:val="24"/>
          <w:lang w:eastAsia="zh-CN"/>
        </w:rPr>
        <w:t>。</w:t>
      </w:r>
    </w:p>
    <w:p w14:paraId="50071825">
      <w:pPr>
        <w:pStyle w:val="12"/>
        <w:spacing w:line="360" w:lineRule="auto"/>
        <w:rPr>
          <w:rFonts w:hint="eastAsia" w:ascii="仿宋" w:hAnsi="仿宋" w:eastAsia="仿宋" w:cs="仿宋"/>
          <w:sz w:val="24"/>
          <w:szCs w:val="24"/>
          <w:lang w:eastAsia="zh-CN"/>
        </w:rPr>
      </w:pPr>
      <w:r>
        <w:rPr>
          <w:rFonts w:hint="eastAsia" w:ascii="仿宋" w:hAnsi="仿宋" w:eastAsia="仿宋" w:cs="仿宋"/>
          <w:kern w:val="0"/>
          <w:sz w:val="24"/>
          <w:szCs w:val="24"/>
        </w:rPr>
        <w:t>六家实验室分别</w:t>
      </w:r>
      <w:r>
        <w:rPr>
          <w:rFonts w:hint="eastAsia" w:ascii="仿宋" w:hAnsi="仿宋" w:eastAsia="仿宋" w:cs="仿宋"/>
          <w:sz w:val="24"/>
          <w:szCs w:val="24"/>
          <w:lang w:val="en-US" w:eastAsia="zh-CN"/>
        </w:rPr>
        <w:t>对含</w:t>
      </w:r>
      <w:r>
        <w:rPr>
          <w:rFonts w:hint="eastAsia" w:ascii="仿宋" w:hAnsi="仿宋" w:eastAsia="仿宋" w:cs="仿宋"/>
          <w:sz w:val="24"/>
          <w:szCs w:val="24"/>
          <w:lang w:eastAsia="zh-CN"/>
        </w:rPr>
        <w:t>钍</w:t>
      </w:r>
      <w:r>
        <w:rPr>
          <w:rFonts w:hint="eastAsia" w:ascii="仿宋" w:hAnsi="仿宋" w:eastAsia="仿宋" w:cs="仿宋"/>
          <w:sz w:val="24"/>
          <w:szCs w:val="24"/>
          <w:lang w:val="en-US" w:eastAsia="zh-CN"/>
        </w:rPr>
        <w:t>79.4</w:t>
      </w:r>
      <w:r>
        <w:rPr>
          <w:rFonts w:hint="eastAsia" w:ascii="仿宋" w:hAnsi="仿宋" w:eastAsia="仿宋" w:cs="仿宋"/>
          <w:sz w:val="24"/>
          <w:szCs w:val="24"/>
        </w:rPr>
        <w:t xml:space="preserve">μg/L </w:t>
      </w:r>
      <w:r>
        <w:rPr>
          <w:rFonts w:hint="eastAsia" w:ascii="仿宋" w:hAnsi="仿宋" w:eastAsia="仿宋" w:cs="仿宋"/>
          <w:sz w:val="24"/>
          <w:szCs w:val="24"/>
          <w:lang w:eastAsia="zh-CN"/>
        </w:rPr>
        <w:t>的固体废物浸出液进行</w:t>
      </w:r>
      <w:r>
        <w:rPr>
          <w:rFonts w:hint="eastAsia" w:ascii="仿宋" w:hAnsi="仿宋" w:eastAsia="仿宋" w:cs="仿宋"/>
          <w:sz w:val="24"/>
          <w:szCs w:val="24"/>
          <w:lang w:val="en-US" w:eastAsia="zh-CN"/>
        </w:rPr>
        <w:t>6次重复测定，实验室内相对偏差</w:t>
      </w:r>
      <w:r>
        <w:rPr>
          <w:rFonts w:hint="eastAsia" w:ascii="仿宋" w:hAnsi="仿宋" w:eastAsia="仿宋" w:cs="仿宋"/>
          <w:sz w:val="24"/>
          <w:szCs w:val="24"/>
          <w:vertAlign w:val="baseline"/>
          <w:lang w:val="en-US" w:eastAsia="zh-CN"/>
        </w:rPr>
        <w:t>RSD为</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1.1%</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4.3%，实验室间相对偏差</w:t>
      </w:r>
      <w:r>
        <w:rPr>
          <w:rFonts w:hint="eastAsia" w:ascii="仿宋" w:hAnsi="仿宋" w:eastAsia="仿宋" w:cs="仿宋"/>
          <w:sz w:val="24"/>
          <w:szCs w:val="24"/>
          <w:vertAlign w:val="baseline"/>
          <w:lang w:val="en-US" w:eastAsia="zh-CN"/>
        </w:rPr>
        <w:t>RSD'为</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3.8%，</w:t>
      </w:r>
      <w:r>
        <w:rPr>
          <w:rFonts w:hint="eastAsia" w:ascii="仿宋" w:hAnsi="仿宋" w:eastAsia="仿宋" w:cs="仿宋"/>
          <w:sz w:val="24"/>
          <w:szCs w:val="24"/>
          <w:vertAlign w:val="baseline"/>
          <w:lang w:eastAsia="zh-CN"/>
        </w:rPr>
        <w:t>重复性限</w:t>
      </w:r>
      <w:r>
        <w:rPr>
          <w:rFonts w:hint="eastAsia" w:ascii="仿宋" w:hAnsi="仿宋" w:eastAsia="仿宋" w:cs="仿宋"/>
          <w:sz w:val="24"/>
          <w:szCs w:val="24"/>
          <w:vertAlign w:val="baseline"/>
          <w:lang w:val="en-US" w:eastAsia="zh-CN"/>
        </w:rPr>
        <w:t>r为4.7</w:t>
      </w:r>
      <w:r>
        <w:rPr>
          <w:rFonts w:hint="eastAsia" w:ascii="仿宋" w:hAnsi="仿宋" w:eastAsia="仿宋" w:cs="仿宋"/>
          <w:sz w:val="24"/>
          <w:szCs w:val="24"/>
        </w:rPr>
        <w:t>μg/L</w:t>
      </w:r>
      <w:r>
        <w:rPr>
          <w:rFonts w:hint="eastAsia" w:ascii="仿宋" w:hAnsi="仿宋" w:eastAsia="仿宋" w:cs="仿宋"/>
          <w:sz w:val="24"/>
          <w:szCs w:val="24"/>
          <w:vertAlign w:val="baseline"/>
          <w:lang w:val="en-US" w:eastAsia="zh-CN"/>
        </w:rPr>
        <w:t>，再现性限R为6.2</w:t>
      </w:r>
      <w:r>
        <w:rPr>
          <w:rFonts w:hint="eastAsia" w:ascii="仿宋" w:hAnsi="仿宋" w:eastAsia="仿宋" w:cs="仿宋"/>
          <w:sz w:val="24"/>
          <w:szCs w:val="24"/>
        </w:rPr>
        <w:t xml:space="preserve"> μg/L</w:t>
      </w:r>
      <w:r>
        <w:rPr>
          <w:rFonts w:hint="eastAsia" w:ascii="仿宋" w:hAnsi="仿宋" w:eastAsia="仿宋" w:cs="仿宋"/>
          <w:sz w:val="24"/>
          <w:szCs w:val="24"/>
          <w:lang w:eastAsia="zh-CN"/>
        </w:rPr>
        <w:t>。</w:t>
      </w:r>
    </w:p>
    <w:p w14:paraId="19CAFE8C">
      <w:p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rPr>
        <w:t>六家实验室</w:t>
      </w:r>
      <w:r>
        <w:rPr>
          <w:rFonts w:hint="eastAsia" w:ascii="仿宋" w:hAnsi="仿宋" w:eastAsia="仿宋" w:cs="仿宋"/>
          <w:sz w:val="24"/>
          <w:szCs w:val="24"/>
          <w:lang w:val="en-US" w:eastAsia="zh-CN"/>
        </w:rPr>
        <w:t>分别对铀含量1.6</w:t>
      </w:r>
      <w:r>
        <w:rPr>
          <w:rFonts w:hint="eastAsia" w:ascii="仿宋" w:hAnsi="仿宋" w:eastAsia="仿宋" w:cs="仿宋"/>
          <w:sz w:val="24"/>
          <w:szCs w:val="24"/>
        </w:rPr>
        <w:t>mg/kg</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14.6</w:t>
      </w:r>
      <w:r>
        <w:rPr>
          <w:rFonts w:hint="eastAsia" w:ascii="仿宋" w:hAnsi="仿宋" w:eastAsia="仿宋" w:cs="仿宋"/>
          <w:sz w:val="24"/>
          <w:szCs w:val="24"/>
        </w:rPr>
        <w:t xml:space="preserve"> mg/kg</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536</w:t>
      </w:r>
      <w:r>
        <w:rPr>
          <w:rFonts w:hint="eastAsia" w:ascii="仿宋" w:hAnsi="仿宋" w:eastAsia="仿宋" w:cs="仿宋"/>
          <w:sz w:val="24"/>
          <w:szCs w:val="24"/>
        </w:rPr>
        <w:t xml:space="preserve"> mg/kg</w:t>
      </w:r>
      <w:r>
        <w:rPr>
          <w:rFonts w:hint="eastAsia" w:ascii="仿宋" w:hAnsi="仿宋" w:eastAsia="仿宋" w:cs="仿宋"/>
          <w:sz w:val="24"/>
          <w:szCs w:val="24"/>
          <w:lang w:eastAsia="zh-CN"/>
        </w:rPr>
        <w:t>固体废物有证标准物质</w:t>
      </w:r>
      <w:r>
        <w:rPr>
          <w:rFonts w:hint="eastAsia" w:ascii="仿宋" w:hAnsi="仿宋" w:eastAsia="仿宋" w:cs="仿宋"/>
          <w:sz w:val="24"/>
          <w:szCs w:val="24"/>
          <w:lang w:val="en-US" w:eastAsia="zh-CN"/>
        </w:rPr>
        <w:t>GBWO7409、GBWO7109、GBWO4116</w:t>
      </w:r>
      <w:r>
        <w:rPr>
          <w:rFonts w:hint="eastAsia" w:ascii="仿宋" w:hAnsi="仿宋" w:eastAsia="仿宋" w:cs="仿宋"/>
          <w:sz w:val="24"/>
          <w:szCs w:val="24"/>
          <w:lang w:eastAsia="zh-CN"/>
        </w:rPr>
        <w:t>进行了</w:t>
      </w:r>
      <w:r>
        <w:rPr>
          <w:rFonts w:hint="eastAsia" w:ascii="仿宋" w:hAnsi="仿宋" w:eastAsia="仿宋" w:cs="仿宋"/>
          <w:sz w:val="24"/>
          <w:szCs w:val="24"/>
          <w:lang w:val="en-US" w:eastAsia="zh-CN"/>
        </w:rPr>
        <w:t>6次重复测定，相对误差分别为0.73%</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11%、0.57%</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10%</w:t>
      </w:r>
      <w:r>
        <w:rPr>
          <w:rFonts w:hint="eastAsia" w:ascii="仿宋" w:hAnsi="仿宋" w:eastAsia="仿宋" w:cs="仿宋"/>
          <w:sz w:val="24"/>
          <w:szCs w:val="24"/>
        </w:rPr>
        <w:t xml:space="preserve"> </w:t>
      </w:r>
      <w:r>
        <w:rPr>
          <w:rFonts w:hint="eastAsia" w:ascii="仿宋" w:hAnsi="仿宋" w:eastAsia="仿宋" w:cs="仿宋"/>
          <w:sz w:val="24"/>
          <w:szCs w:val="24"/>
          <w:lang w:eastAsia="zh-CN"/>
        </w:rPr>
        <w:t>、</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0.75%</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5.8%</w:t>
      </w:r>
      <w:r>
        <w:rPr>
          <w:rFonts w:hint="eastAsia" w:ascii="仿宋" w:hAnsi="仿宋" w:eastAsia="仿宋" w:cs="仿宋"/>
          <w:sz w:val="24"/>
          <w:szCs w:val="24"/>
        </w:rPr>
        <w:t xml:space="preserve"> </w:t>
      </w:r>
      <w:r>
        <w:rPr>
          <w:rFonts w:hint="eastAsia" w:ascii="仿宋" w:hAnsi="仿宋" w:eastAsia="仿宋" w:cs="仿宋"/>
          <w:sz w:val="24"/>
          <w:szCs w:val="24"/>
          <w:lang w:eastAsia="zh-CN"/>
        </w:rPr>
        <w:t>；相对误差最终值分别为（</w:t>
      </w:r>
      <w:r>
        <w:rPr>
          <w:rFonts w:hint="eastAsia" w:ascii="仿宋" w:hAnsi="仿宋" w:eastAsia="仿宋" w:cs="仿宋"/>
          <w:sz w:val="24"/>
          <w:szCs w:val="24"/>
          <w:lang w:val="en-US" w:eastAsia="zh-CN"/>
        </w:rPr>
        <w:t>5.1±7.0）% 、（6.3±6.4）% 、（2.7±</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4.8）%。</w:t>
      </w:r>
    </w:p>
    <w:p w14:paraId="6F9025D7">
      <w:p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rPr>
        <w:t>六家实验室</w:t>
      </w:r>
      <w:r>
        <w:rPr>
          <w:rFonts w:hint="eastAsia" w:ascii="仿宋" w:hAnsi="仿宋" w:eastAsia="仿宋" w:cs="仿宋"/>
          <w:sz w:val="24"/>
          <w:szCs w:val="24"/>
          <w:lang w:val="en-US" w:eastAsia="zh-CN"/>
        </w:rPr>
        <w:t>分别对钍含量8.4</w:t>
      </w:r>
      <w:r>
        <w:rPr>
          <w:rFonts w:hint="eastAsia" w:ascii="仿宋" w:hAnsi="仿宋" w:eastAsia="仿宋" w:cs="仿宋"/>
          <w:sz w:val="24"/>
          <w:szCs w:val="24"/>
        </w:rPr>
        <w:t>mg/kg</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79.3</w:t>
      </w:r>
      <w:r>
        <w:rPr>
          <w:rFonts w:hint="eastAsia" w:ascii="仿宋" w:hAnsi="仿宋" w:eastAsia="仿宋" w:cs="仿宋"/>
          <w:sz w:val="24"/>
          <w:szCs w:val="24"/>
        </w:rPr>
        <w:t>mg/kg</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2020</w:t>
      </w:r>
      <w:r>
        <w:rPr>
          <w:rFonts w:hint="eastAsia" w:ascii="仿宋" w:hAnsi="仿宋" w:eastAsia="仿宋" w:cs="仿宋"/>
          <w:sz w:val="24"/>
          <w:szCs w:val="24"/>
        </w:rPr>
        <w:t>mg/kg</w:t>
      </w:r>
      <w:r>
        <w:rPr>
          <w:rFonts w:hint="eastAsia" w:ascii="仿宋" w:hAnsi="仿宋" w:eastAsia="仿宋" w:cs="仿宋"/>
          <w:sz w:val="24"/>
          <w:szCs w:val="24"/>
          <w:lang w:eastAsia="zh-CN"/>
        </w:rPr>
        <w:t>固体废物有证标准物质</w:t>
      </w:r>
      <w:r>
        <w:rPr>
          <w:rFonts w:hint="eastAsia" w:ascii="仿宋" w:hAnsi="仿宋" w:eastAsia="仿宋" w:cs="仿宋"/>
          <w:sz w:val="24"/>
          <w:szCs w:val="24"/>
          <w:lang w:val="en-US" w:eastAsia="zh-CN"/>
        </w:rPr>
        <w:t>GBWO7409、GBWO7109、GBWO4116</w:t>
      </w:r>
      <w:r>
        <w:rPr>
          <w:rFonts w:hint="eastAsia" w:ascii="仿宋" w:hAnsi="仿宋" w:eastAsia="仿宋" w:cs="仿宋"/>
          <w:sz w:val="24"/>
          <w:szCs w:val="24"/>
          <w:lang w:eastAsia="zh-CN"/>
        </w:rPr>
        <w:t>进行了</w:t>
      </w:r>
      <w:r>
        <w:rPr>
          <w:rFonts w:hint="eastAsia" w:ascii="仿宋" w:hAnsi="仿宋" w:eastAsia="仿宋" w:cs="仿宋"/>
          <w:sz w:val="24"/>
          <w:szCs w:val="24"/>
          <w:lang w:val="en-US" w:eastAsia="zh-CN"/>
        </w:rPr>
        <w:t>6次重复测定，相对误差分别为0.12%</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4.3%、0.11%</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4.9%</w:t>
      </w:r>
      <w:r>
        <w:rPr>
          <w:rFonts w:hint="eastAsia" w:ascii="仿宋" w:hAnsi="仿宋" w:eastAsia="仿宋" w:cs="仿宋"/>
          <w:sz w:val="24"/>
          <w:szCs w:val="24"/>
        </w:rPr>
        <w:t xml:space="preserve"> </w:t>
      </w:r>
      <w:r>
        <w:rPr>
          <w:rFonts w:hint="eastAsia" w:ascii="仿宋" w:hAnsi="仿宋" w:eastAsia="仿宋" w:cs="仿宋"/>
          <w:sz w:val="24"/>
          <w:szCs w:val="24"/>
          <w:lang w:eastAsia="zh-CN"/>
        </w:rPr>
        <w:t>、</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0.60%</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4.4%</w:t>
      </w:r>
      <w:r>
        <w:rPr>
          <w:rFonts w:hint="eastAsia" w:ascii="仿宋" w:hAnsi="仿宋" w:eastAsia="仿宋" w:cs="仿宋"/>
          <w:sz w:val="24"/>
          <w:szCs w:val="24"/>
        </w:rPr>
        <w:t xml:space="preserve"> </w:t>
      </w:r>
      <w:r>
        <w:rPr>
          <w:rFonts w:hint="eastAsia" w:ascii="仿宋" w:hAnsi="仿宋" w:eastAsia="仿宋" w:cs="仿宋"/>
          <w:sz w:val="24"/>
          <w:szCs w:val="24"/>
          <w:lang w:eastAsia="zh-CN"/>
        </w:rPr>
        <w:t>；相对误差最终值分别为（</w:t>
      </w:r>
      <w:r>
        <w:rPr>
          <w:rFonts w:hint="eastAsia" w:ascii="仿宋" w:hAnsi="仿宋" w:eastAsia="仿宋" w:cs="仿宋"/>
          <w:sz w:val="24"/>
          <w:szCs w:val="24"/>
          <w:lang w:val="en-US" w:eastAsia="zh-CN"/>
        </w:rPr>
        <w:t>2.3±3.0）% 、（2.8±4.2）% 、（2.1±</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2.8）%。</w:t>
      </w:r>
    </w:p>
    <w:p w14:paraId="7FB8E028">
      <w:p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rPr>
        <w:t>六家实验室</w:t>
      </w:r>
      <w:r>
        <w:rPr>
          <w:rFonts w:hint="eastAsia" w:ascii="仿宋" w:hAnsi="仿宋" w:eastAsia="仿宋" w:cs="仿宋"/>
          <w:sz w:val="24"/>
          <w:szCs w:val="24"/>
          <w:lang w:eastAsia="zh-CN"/>
        </w:rPr>
        <w:t>分别</w:t>
      </w:r>
      <w:r>
        <w:rPr>
          <w:rFonts w:hint="eastAsia" w:ascii="仿宋" w:hAnsi="仿宋" w:eastAsia="仿宋" w:cs="仿宋"/>
          <w:sz w:val="24"/>
          <w:szCs w:val="24"/>
          <w:lang w:val="en-US" w:eastAsia="zh-CN"/>
        </w:rPr>
        <w:t>对含铀112</w:t>
      </w:r>
      <w:r>
        <w:rPr>
          <w:rFonts w:hint="eastAsia" w:ascii="仿宋" w:hAnsi="仿宋" w:eastAsia="仿宋" w:cs="仿宋"/>
          <w:sz w:val="24"/>
          <w:szCs w:val="24"/>
        </w:rPr>
        <w:t>μg/L</w:t>
      </w:r>
      <w:r>
        <w:rPr>
          <w:rFonts w:hint="eastAsia" w:ascii="仿宋" w:hAnsi="仿宋" w:eastAsia="仿宋" w:cs="仿宋"/>
          <w:sz w:val="24"/>
          <w:szCs w:val="24"/>
          <w:lang w:eastAsia="zh-CN"/>
        </w:rPr>
        <w:t>的固体废物浸出液分别加标</w:t>
      </w:r>
      <w:r>
        <w:rPr>
          <w:rFonts w:hint="eastAsia" w:ascii="仿宋" w:hAnsi="仿宋" w:eastAsia="仿宋" w:cs="仿宋"/>
          <w:sz w:val="24"/>
          <w:szCs w:val="24"/>
          <w:lang w:val="en-US" w:eastAsia="zh-CN"/>
        </w:rPr>
        <w:t>20</w:t>
      </w:r>
      <w:r>
        <w:rPr>
          <w:rFonts w:hint="eastAsia" w:ascii="仿宋" w:hAnsi="仿宋" w:eastAsia="仿宋" w:cs="仿宋"/>
          <w:sz w:val="24"/>
          <w:szCs w:val="24"/>
        </w:rPr>
        <w:t>μg/L</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100</w:t>
      </w:r>
      <w:r>
        <w:rPr>
          <w:rFonts w:hint="eastAsia" w:ascii="仿宋" w:hAnsi="仿宋" w:eastAsia="仿宋" w:cs="仿宋"/>
          <w:sz w:val="24"/>
          <w:szCs w:val="24"/>
        </w:rPr>
        <w:t>μg/L</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500</w:t>
      </w:r>
      <w:r>
        <w:rPr>
          <w:rFonts w:hint="eastAsia" w:ascii="仿宋" w:hAnsi="仿宋" w:eastAsia="仿宋" w:cs="仿宋"/>
          <w:sz w:val="24"/>
          <w:szCs w:val="24"/>
        </w:rPr>
        <w:t>μg/L</w:t>
      </w:r>
      <w:r>
        <w:rPr>
          <w:rFonts w:hint="eastAsia" w:ascii="仿宋" w:hAnsi="仿宋" w:eastAsia="仿宋" w:cs="仿宋"/>
          <w:sz w:val="24"/>
          <w:szCs w:val="24"/>
          <w:lang w:eastAsia="zh-CN"/>
        </w:rPr>
        <w:t>进行了</w:t>
      </w:r>
      <w:r>
        <w:rPr>
          <w:rFonts w:hint="eastAsia" w:ascii="仿宋" w:hAnsi="仿宋" w:eastAsia="仿宋" w:cs="仿宋"/>
          <w:sz w:val="24"/>
          <w:szCs w:val="24"/>
          <w:lang w:val="en-US" w:eastAsia="zh-CN"/>
        </w:rPr>
        <w:t>6次重复加标分析测定，加标回收率分别为90.0%</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105%、95.9%</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105%、98.6%</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106%，加标回收率最终值分别为（96.8±12.4）%、（100±7.28）%、（101±5.20）%。</w:t>
      </w:r>
    </w:p>
    <w:p w14:paraId="30308A8B">
      <w:pPr>
        <w:pStyle w:val="12"/>
        <w:spacing w:line="360" w:lineRule="auto"/>
        <w:rPr>
          <w:rFonts w:hint="eastAsia" w:ascii="仿宋" w:hAnsi="仿宋" w:eastAsia="仿宋" w:cs="仿宋"/>
          <w:sz w:val="24"/>
          <w:szCs w:val="24"/>
          <w:lang w:eastAsia="zh-CN"/>
        </w:rPr>
      </w:pPr>
      <w:r>
        <w:rPr>
          <w:rFonts w:hint="eastAsia" w:ascii="仿宋" w:hAnsi="仿宋" w:eastAsia="仿宋" w:cs="仿宋"/>
          <w:sz w:val="24"/>
          <w:szCs w:val="24"/>
        </w:rPr>
        <w:t>六家实验室</w:t>
      </w:r>
      <w:r>
        <w:rPr>
          <w:rFonts w:hint="eastAsia" w:ascii="仿宋" w:hAnsi="仿宋" w:eastAsia="仿宋" w:cs="仿宋"/>
          <w:sz w:val="24"/>
          <w:szCs w:val="24"/>
          <w:lang w:eastAsia="zh-CN"/>
        </w:rPr>
        <w:t>分别</w:t>
      </w:r>
      <w:r>
        <w:rPr>
          <w:rFonts w:hint="eastAsia" w:ascii="仿宋" w:hAnsi="仿宋" w:eastAsia="仿宋" w:cs="仿宋"/>
          <w:sz w:val="24"/>
          <w:szCs w:val="24"/>
          <w:lang w:val="en-US" w:eastAsia="zh-CN"/>
        </w:rPr>
        <w:t>对含钍79.4</w:t>
      </w:r>
      <w:r>
        <w:rPr>
          <w:rFonts w:hint="eastAsia" w:ascii="仿宋" w:hAnsi="仿宋" w:eastAsia="仿宋" w:cs="仿宋"/>
          <w:sz w:val="24"/>
          <w:szCs w:val="24"/>
        </w:rPr>
        <w:t>μg/L</w:t>
      </w:r>
      <w:r>
        <w:rPr>
          <w:rFonts w:hint="eastAsia" w:ascii="仿宋" w:hAnsi="仿宋" w:eastAsia="仿宋" w:cs="仿宋"/>
          <w:sz w:val="24"/>
          <w:szCs w:val="24"/>
          <w:lang w:eastAsia="zh-CN"/>
        </w:rPr>
        <w:t>的固体废物浸出液分别加标</w:t>
      </w:r>
      <w:r>
        <w:rPr>
          <w:rFonts w:hint="eastAsia" w:ascii="仿宋" w:hAnsi="仿宋" w:eastAsia="仿宋" w:cs="仿宋"/>
          <w:sz w:val="24"/>
          <w:szCs w:val="24"/>
          <w:lang w:val="en-US" w:eastAsia="zh-CN"/>
        </w:rPr>
        <w:t>20</w:t>
      </w:r>
      <w:r>
        <w:rPr>
          <w:rFonts w:hint="eastAsia" w:ascii="仿宋" w:hAnsi="仿宋" w:eastAsia="仿宋" w:cs="仿宋"/>
          <w:sz w:val="24"/>
          <w:szCs w:val="24"/>
        </w:rPr>
        <w:t>μg/L</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100</w:t>
      </w:r>
      <w:r>
        <w:rPr>
          <w:rFonts w:hint="eastAsia" w:ascii="仿宋" w:hAnsi="仿宋" w:eastAsia="仿宋" w:cs="仿宋"/>
          <w:sz w:val="24"/>
          <w:szCs w:val="24"/>
        </w:rPr>
        <w:t>μg/L</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500</w:t>
      </w:r>
      <w:r>
        <w:rPr>
          <w:rFonts w:hint="eastAsia" w:ascii="仿宋" w:hAnsi="仿宋" w:eastAsia="仿宋" w:cs="仿宋"/>
          <w:sz w:val="24"/>
          <w:szCs w:val="24"/>
        </w:rPr>
        <w:t>μg/L</w:t>
      </w:r>
      <w:r>
        <w:rPr>
          <w:rFonts w:hint="eastAsia" w:ascii="仿宋" w:hAnsi="仿宋" w:eastAsia="仿宋" w:cs="仿宋"/>
          <w:sz w:val="24"/>
          <w:szCs w:val="24"/>
          <w:lang w:eastAsia="zh-CN"/>
        </w:rPr>
        <w:t>进行了</w:t>
      </w:r>
      <w:r>
        <w:rPr>
          <w:rFonts w:hint="eastAsia" w:ascii="仿宋" w:hAnsi="仿宋" w:eastAsia="仿宋" w:cs="仿宋"/>
          <w:sz w:val="24"/>
          <w:szCs w:val="24"/>
          <w:lang w:val="en-US" w:eastAsia="zh-CN"/>
        </w:rPr>
        <w:t>6次重复加标分析测定，加标回收率分别为93.5%</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109%、96.3%</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107%、100%</w:t>
      </w:r>
      <w:r>
        <w:rPr>
          <w:rFonts w:hint="default" w:ascii="Times New Roman" w:hAnsi="Times New Roman" w:eastAsia="仿宋" w:cs="Times New Roman"/>
          <w:sz w:val="24"/>
          <w:szCs w:val="24"/>
          <w:lang w:val="en-US" w:eastAsia="zh-CN"/>
        </w:rPr>
        <w:t>~</w:t>
      </w:r>
      <w:r>
        <w:rPr>
          <w:rFonts w:hint="eastAsia" w:ascii="仿宋" w:hAnsi="仿宋" w:eastAsia="仿宋" w:cs="仿宋"/>
          <w:sz w:val="24"/>
          <w:szCs w:val="24"/>
          <w:lang w:val="en-US" w:eastAsia="zh-CN"/>
        </w:rPr>
        <w:t>111%，加标回收率最终值分别为（101±13.5）%、（104±8.25）%、（104±7.87）%。</w:t>
      </w:r>
    </w:p>
    <w:p w14:paraId="28ECB517">
      <w:pPr>
        <w:pStyle w:val="2"/>
        <w:rPr>
          <w:rFonts w:ascii="Times New Roman" w:hAnsi="Times New Roman" w:cs="Times New Roman"/>
        </w:rPr>
      </w:pPr>
      <w:r>
        <w:rPr>
          <w:rFonts w:hint="eastAsia" w:ascii="Times New Roman" w:hAnsi="Times New Roman" w:cs="Times New Roman"/>
          <w:lang w:val="en-US" w:eastAsia="zh-CN"/>
        </w:rPr>
        <w:t>7</w:t>
      </w:r>
      <w:r>
        <w:rPr>
          <w:rFonts w:ascii="Times New Roman" w:hAnsi="Times New Roman" w:cs="Times New Roman"/>
        </w:rPr>
        <w:t>重大意见分歧的处理依据和结果</w:t>
      </w:r>
    </w:p>
    <w:p w14:paraId="1F172C9B">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bookmarkStart w:id="2" w:name="_Hlk76462914"/>
      <w:r>
        <w:rPr>
          <w:rFonts w:hint="eastAsia" w:ascii="Times New Roman" w:hAnsi="Times New Roman" w:eastAsia="仿宋" w:cs="Times New Roman"/>
          <w:b w:val="0"/>
          <w:bCs w:val="0"/>
          <w:color w:val="000000"/>
          <w:kern w:val="2"/>
          <w:sz w:val="24"/>
          <w:szCs w:val="22"/>
          <w:lang w:val="en-US" w:eastAsia="zh-CN" w:bidi="en-US"/>
        </w:rPr>
        <w:t>本标准在起草制订过程中，已征询了核工业北京化工冶金研究院、核工业二四三大队、核工业二四0研究所、核工业二○八大队、核工业二〇三研究所等6家科研单位、省级事业单位专家意见，收集到意见建议归纳为13条，其中接受采纳13条。</w:t>
      </w:r>
    </w:p>
    <w:p w14:paraId="5EC1F628">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本标准全部条款在制定过程中无重大分歧意见。</w:t>
      </w:r>
    </w:p>
    <w:p w14:paraId="42D8DD68">
      <w:pPr>
        <w:pStyle w:val="2"/>
        <w:rPr>
          <w:rFonts w:hint="eastAsia" w:ascii="Times New Roman" w:hAnsi="Times New Roman" w:eastAsia="宋体" w:cs="Times New Roman"/>
          <w:lang w:eastAsia="zh-CN"/>
        </w:rPr>
      </w:pPr>
      <w:r>
        <w:rPr>
          <w:rFonts w:hint="eastAsia" w:ascii="Times New Roman" w:hAnsi="Times New Roman" w:cs="Times New Roman"/>
          <w:lang w:val="en-US" w:eastAsia="zh-CN"/>
        </w:rPr>
        <w:t>8</w:t>
      </w:r>
      <w:r>
        <w:rPr>
          <w:rFonts w:hint="eastAsia" w:ascii="Times New Roman" w:hAnsi="Times New Roman" w:cs="Times New Roman"/>
          <w:lang w:eastAsia="zh-CN"/>
        </w:rPr>
        <w:t>标准实施建议</w:t>
      </w:r>
    </w:p>
    <w:p w14:paraId="4D00914E">
      <w:pPr>
        <w:spacing w:line="360" w:lineRule="auto"/>
        <w:ind w:firstLine="480" w:firstLineChars="200"/>
        <w:rPr>
          <w:rFonts w:hint="eastAsia"/>
          <w:lang w:val="en-US" w:eastAsia="zh-CN"/>
        </w:rPr>
      </w:pPr>
      <w:r>
        <w:rPr>
          <w:rFonts w:hint="eastAsia" w:ascii="Times New Roman" w:hAnsi="Times New Roman" w:eastAsia="仿宋" w:cs="Times New Roman"/>
          <w:color w:val="000000"/>
          <w:sz w:val="24"/>
          <w:lang w:bidi="en-US"/>
        </w:rPr>
        <w:t>本标准所涉及产品主要是固体废物及固体废物浸出液中铀、钍的电感耦合等离子体质谱法测定，</w:t>
      </w:r>
      <w:r>
        <w:rPr>
          <w:rFonts w:hint="eastAsia" w:ascii="Times New Roman" w:hAnsi="Times New Roman" w:eastAsia="仿宋" w:cs="Times New Roman"/>
          <w:color w:val="000000"/>
          <w:sz w:val="24"/>
          <w:lang w:eastAsia="zh-CN" w:bidi="en-US"/>
        </w:rPr>
        <w:t>建议</w:t>
      </w:r>
      <w:r>
        <w:rPr>
          <w:rFonts w:hint="eastAsia" w:ascii="Times New Roman" w:hAnsi="Times New Roman" w:eastAsia="仿宋" w:cs="Times New Roman"/>
          <w:color w:val="000000"/>
          <w:sz w:val="24"/>
          <w:lang w:bidi="en-US"/>
        </w:rPr>
        <w:t>重点服务于</w:t>
      </w:r>
      <w:r>
        <w:rPr>
          <w:rFonts w:hint="eastAsia" w:ascii="Times New Roman" w:hAnsi="Times New Roman" w:eastAsia="仿宋" w:cs="Times New Roman"/>
          <w:color w:val="000000"/>
          <w:sz w:val="24"/>
          <w:lang w:eastAsia="zh-CN" w:bidi="en-US"/>
        </w:rPr>
        <w:t>检验检测机构、</w:t>
      </w:r>
      <w:r>
        <w:rPr>
          <w:rFonts w:hint="eastAsia" w:ascii="Times New Roman" w:hAnsi="Times New Roman" w:eastAsia="仿宋" w:cs="Times New Roman"/>
          <w:color w:val="000000"/>
          <w:sz w:val="24"/>
          <w:lang w:bidi="en-US"/>
        </w:rPr>
        <w:t>伴生放射性矿开发利用辐射环境管理、铀矿冶/铀矿山辐射环境管理、固体废物的处理处置等工作。</w:t>
      </w:r>
    </w:p>
    <w:bookmarkEnd w:id="2"/>
    <w:p w14:paraId="5906705C">
      <w:pPr>
        <w:pStyle w:val="2"/>
        <w:rPr>
          <w:rFonts w:ascii="Times New Roman" w:hAnsi="Times New Roman" w:cs="Times New Roman"/>
        </w:rPr>
      </w:pPr>
      <w:r>
        <w:rPr>
          <w:rFonts w:hint="eastAsia" w:ascii="Times New Roman" w:hAnsi="Times New Roman" w:cs="Times New Roman"/>
          <w:lang w:val="en-US" w:eastAsia="zh-CN"/>
        </w:rPr>
        <w:t>9</w:t>
      </w:r>
      <w:r>
        <w:rPr>
          <w:rFonts w:ascii="Times New Roman" w:hAnsi="Times New Roman" w:cs="Times New Roman"/>
        </w:rPr>
        <w:t>其他应说明的事项</w:t>
      </w:r>
    </w:p>
    <w:p w14:paraId="14D9F4FA">
      <w:pPr>
        <w:spacing w:line="360" w:lineRule="auto"/>
        <w:ind w:firstLine="480" w:firstLineChars="200"/>
        <w:rPr>
          <w:rFonts w:hint="eastAsia" w:ascii="Times New Roman" w:hAnsi="Times New Roman" w:eastAsia="仿宋" w:cs="Times New Roman"/>
          <w:b w:val="0"/>
          <w:bCs w:val="0"/>
          <w:color w:val="000000"/>
          <w:kern w:val="2"/>
          <w:sz w:val="24"/>
          <w:szCs w:val="22"/>
          <w:lang w:val="en-US" w:eastAsia="zh-CN" w:bidi="en-US"/>
        </w:rPr>
      </w:pPr>
      <w:r>
        <w:rPr>
          <w:rFonts w:hint="eastAsia" w:ascii="Times New Roman" w:hAnsi="Times New Roman" w:eastAsia="仿宋" w:cs="Times New Roman"/>
          <w:b w:val="0"/>
          <w:bCs w:val="0"/>
          <w:color w:val="000000"/>
          <w:kern w:val="2"/>
          <w:sz w:val="24"/>
          <w:szCs w:val="22"/>
          <w:lang w:val="en-US" w:eastAsia="zh-CN" w:bidi="en-US"/>
        </w:rPr>
        <w:t>本标准是首次制定，在制定过程中，标准制定工作组对全国、特别是我省固废中铀、钍检测现状进行了充分调研，查阅了国内外相关资料，并开展了方法验证工作。此外，在标准制定期间，工作组得到了许多专家和相关领导、同仁们的大力支持和帮助，在此表示衷心感谢！</w:t>
      </w:r>
    </w:p>
    <w:p w14:paraId="2AC71A05">
      <w:pPr>
        <w:spacing w:line="460" w:lineRule="exact"/>
        <w:ind w:firstLine="480"/>
        <w:rPr>
          <w:rFonts w:ascii="Times New Roman" w:hAnsi="Times New Roman" w:eastAsia="仿宋_GB2312" w:cs="Times New Roman"/>
        </w:rPr>
      </w:pPr>
    </w:p>
    <w:p w14:paraId="419F8C2B">
      <w:pPr>
        <w:spacing w:line="460" w:lineRule="exact"/>
        <w:ind w:firstLine="480"/>
        <w:jc w:val="right"/>
        <w:rPr>
          <w:rFonts w:ascii="Times New Roman" w:hAnsi="Times New Roman" w:eastAsia="仿宋_GB2312" w:cs="Times New Roman"/>
        </w:rPr>
      </w:pPr>
      <w:bookmarkStart w:id="3" w:name="_Hlk76462961"/>
      <w:r>
        <w:rPr>
          <w:rFonts w:ascii="Times New Roman" w:hAnsi="Times New Roman" w:eastAsia="仿宋_GB2312" w:cs="Times New Roman"/>
        </w:rPr>
        <w:t>《</w:t>
      </w:r>
      <w:r>
        <w:rPr>
          <w:rFonts w:hint="eastAsia" w:ascii="仿宋" w:hAnsi="仿宋" w:eastAsia="仿宋" w:cs="宋体"/>
          <w:sz w:val="24"/>
          <w:szCs w:val="24"/>
        </w:rPr>
        <w:t xml:space="preserve">固体废物 </w:t>
      </w:r>
      <w:r>
        <w:rPr>
          <w:rFonts w:hint="eastAsia" w:ascii="仿宋" w:hAnsi="仿宋" w:eastAsia="仿宋" w:cs="宋体"/>
          <w:sz w:val="24"/>
          <w:szCs w:val="24"/>
          <w:lang w:eastAsia="zh-CN"/>
        </w:rPr>
        <w:t>铀</w:t>
      </w:r>
      <w:r>
        <w:rPr>
          <w:rFonts w:hint="eastAsia" w:ascii="仿宋" w:hAnsi="仿宋" w:eastAsia="仿宋" w:cs="宋体"/>
          <w:sz w:val="24"/>
          <w:szCs w:val="24"/>
          <w:lang w:val="en-US" w:eastAsia="zh-CN"/>
        </w:rPr>
        <w:t xml:space="preserve"> 钍</w:t>
      </w:r>
      <w:r>
        <w:rPr>
          <w:rFonts w:hint="eastAsia" w:ascii="仿宋" w:hAnsi="仿宋" w:eastAsia="仿宋" w:cs="宋体"/>
          <w:sz w:val="24"/>
          <w:szCs w:val="24"/>
        </w:rPr>
        <w:t>的测定 电感耦合等离子体质谱法</w:t>
      </w:r>
      <w:r>
        <w:rPr>
          <w:rFonts w:ascii="Times New Roman" w:hAnsi="Times New Roman" w:eastAsia="仿宋_GB2312" w:cs="Times New Roman"/>
        </w:rPr>
        <w:t>》标准起草小组</w:t>
      </w:r>
    </w:p>
    <w:p w14:paraId="1BFEAC4F">
      <w:pPr>
        <w:spacing w:line="460" w:lineRule="exact"/>
        <w:ind w:firstLine="480"/>
        <w:jc w:val="right"/>
        <w:rPr>
          <w:rFonts w:ascii="Times New Roman" w:hAnsi="Times New Roman" w:eastAsia="仿宋_GB2312" w:cs="Times New Roman"/>
        </w:rPr>
      </w:pPr>
      <w:r>
        <w:rPr>
          <w:rFonts w:ascii="Times New Roman" w:hAnsi="Times New Roman" w:eastAsia="仿宋_GB2312" w:cs="Times New Roman"/>
        </w:rPr>
        <w:t>202</w:t>
      </w:r>
      <w:r>
        <w:rPr>
          <w:rFonts w:hint="eastAsia" w:ascii="Times New Roman" w:hAnsi="Times New Roman" w:eastAsia="仿宋_GB2312" w:cs="Times New Roman"/>
          <w:lang w:val="en-US" w:eastAsia="zh-CN"/>
        </w:rPr>
        <w:t>4</w:t>
      </w:r>
      <w:r>
        <w:rPr>
          <w:rFonts w:ascii="Times New Roman" w:hAnsi="Times New Roman" w:eastAsia="仿宋_GB2312" w:cs="Times New Roman"/>
        </w:rPr>
        <w:t>年</w:t>
      </w:r>
      <w:r>
        <w:rPr>
          <w:rFonts w:hint="eastAsia" w:ascii="Times New Roman" w:hAnsi="Times New Roman" w:eastAsia="仿宋_GB2312" w:cs="Times New Roman"/>
          <w:lang w:val="en-US" w:eastAsia="zh-CN"/>
        </w:rPr>
        <w:t>9</w:t>
      </w:r>
      <w:r>
        <w:rPr>
          <w:rFonts w:ascii="Times New Roman" w:hAnsi="Times New Roman" w:eastAsia="仿宋_GB2312" w:cs="Times New Roman"/>
        </w:rPr>
        <w:t>月</w:t>
      </w:r>
      <w:r>
        <w:rPr>
          <w:rFonts w:hint="eastAsia" w:ascii="Times New Roman" w:hAnsi="Times New Roman" w:eastAsia="仿宋_GB2312" w:cs="Times New Roman"/>
          <w:lang w:val="en-US" w:eastAsia="zh-CN"/>
        </w:rPr>
        <w:t>30</w:t>
      </w:r>
      <w:r>
        <w:rPr>
          <w:rFonts w:ascii="Times New Roman" w:hAnsi="Times New Roman" w:eastAsia="仿宋_GB2312" w:cs="Times New Roman"/>
        </w:rPr>
        <w:t>日</w:t>
      </w:r>
      <w:bookmarkEnd w:id="3"/>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152A6">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49045">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BCDE4">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7D916">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532B6">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A8C92">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92603F"/>
    <w:multiLevelType w:val="singleLevel"/>
    <w:tmpl w:val="F392603F"/>
    <w:lvl w:ilvl="0" w:tentative="0">
      <w:start w:val="1"/>
      <w:numFmt w:val="decimal"/>
      <w:suff w:val="nothing"/>
      <w:lvlText w:val="（%1）"/>
      <w:lvlJc w:val="left"/>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4C257773"/>
    <w:multiLevelType w:val="multilevel"/>
    <w:tmpl w:val="4C257773"/>
    <w:lvl w:ilvl="0" w:tentative="0">
      <w:start w:val="1"/>
      <w:numFmt w:val="decimal"/>
      <w:pStyle w:val="22"/>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hiMjFhNjIyYzE0ZWNjMWI5NjJlODEyYTM4NmRiY2EifQ=="/>
  </w:docVars>
  <w:rsids>
    <w:rsidRoot w:val="007B12E2"/>
    <w:rsid w:val="00016EA9"/>
    <w:rsid w:val="00060AE5"/>
    <w:rsid w:val="000D23F5"/>
    <w:rsid w:val="000D7D0E"/>
    <w:rsid w:val="00147F8D"/>
    <w:rsid w:val="00194015"/>
    <w:rsid w:val="001B14BD"/>
    <w:rsid w:val="001B49A5"/>
    <w:rsid w:val="001B753F"/>
    <w:rsid w:val="001E74A3"/>
    <w:rsid w:val="001F1A46"/>
    <w:rsid w:val="00200811"/>
    <w:rsid w:val="00221351"/>
    <w:rsid w:val="00243F23"/>
    <w:rsid w:val="00244713"/>
    <w:rsid w:val="002B2374"/>
    <w:rsid w:val="002D1123"/>
    <w:rsid w:val="002E7217"/>
    <w:rsid w:val="00350E3A"/>
    <w:rsid w:val="00387D0A"/>
    <w:rsid w:val="00394CA0"/>
    <w:rsid w:val="003C1D2A"/>
    <w:rsid w:val="00432982"/>
    <w:rsid w:val="004968AA"/>
    <w:rsid w:val="004B68EE"/>
    <w:rsid w:val="00514FC3"/>
    <w:rsid w:val="00522966"/>
    <w:rsid w:val="0053289E"/>
    <w:rsid w:val="005774F4"/>
    <w:rsid w:val="005B5C9B"/>
    <w:rsid w:val="005C04BB"/>
    <w:rsid w:val="005F7236"/>
    <w:rsid w:val="006361B1"/>
    <w:rsid w:val="00637279"/>
    <w:rsid w:val="006406D6"/>
    <w:rsid w:val="0066727C"/>
    <w:rsid w:val="006903EF"/>
    <w:rsid w:val="00690EF0"/>
    <w:rsid w:val="00691E29"/>
    <w:rsid w:val="006C32DF"/>
    <w:rsid w:val="006D71C0"/>
    <w:rsid w:val="007212FB"/>
    <w:rsid w:val="007870DD"/>
    <w:rsid w:val="007B12E2"/>
    <w:rsid w:val="007F0F8D"/>
    <w:rsid w:val="00803D45"/>
    <w:rsid w:val="0083192E"/>
    <w:rsid w:val="00846116"/>
    <w:rsid w:val="00870BC8"/>
    <w:rsid w:val="008B083A"/>
    <w:rsid w:val="008F1F8C"/>
    <w:rsid w:val="008F5B70"/>
    <w:rsid w:val="009A36D9"/>
    <w:rsid w:val="009D3B17"/>
    <w:rsid w:val="00A218E9"/>
    <w:rsid w:val="00A22E55"/>
    <w:rsid w:val="00A3296D"/>
    <w:rsid w:val="00A56688"/>
    <w:rsid w:val="00A71C36"/>
    <w:rsid w:val="00A870D9"/>
    <w:rsid w:val="00AA0FE6"/>
    <w:rsid w:val="00AE3974"/>
    <w:rsid w:val="00AF36D0"/>
    <w:rsid w:val="00B00525"/>
    <w:rsid w:val="00B20D07"/>
    <w:rsid w:val="00B23491"/>
    <w:rsid w:val="00B27DAC"/>
    <w:rsid w:val="00B454C4"/>
    <w:rsid w:val="00B761C3"/>
    <w:rsid w:val="00B97C9B"/>
    <w:rsid w:val="00BA3E86"/>
    <w:rsid w:val="00BE6E28"/>
    <w:rsid w:val="00BF1CFF"/>
    <w:rsid w:val="00BF2A9E"/>
    <w:rsid w:val="00C01B54"/>
    <w:rsid w:val="00C128C8"/>
    <w:rsid w:val="00C22973"/>
    <w:rsid w:val="00C34A57"/>
    <w:rsid w:val="00C63FE7"/>
    <w:rsid w:val="00C77122"/>
    <w:rsid w:val="00CF4854"/>
    <w:rsid w:val="00D2362B"/>
    <w:rsid w:val="00D40E66"/>
    <w:rsid w:val="00D53085"/>
    <w:rsid w:val="00D55524"/>
    <w:rsid w:val="00D729DE"/>
    <w:rsid w:val="00DC0397"/>
    <w:rsid w:val="00DC35F2"/>
    <w:rsid w:val="00DF2E9C"/>
    <w:rsid w:val="00E157D0"/>
    <w:rsid w:val="00E344B8"/>
    <w:rsid w:val="00E37922"/>
    <w:rsid w:val="00EC0CE7"/>
    <w:rsid w:val="00ED2A19"/>
    <w:rsid w:val="00F00D97"/>
    <w:rsid w:val="00F06E37"/>
    <w:rsid w:val="00F84196"/>
    <w:rsid w:val="00F924C1"/>
    <w:rsid w:val="06937D27"/>
    <w:rsid w:val="0B3B4F9C"/>
    <w:rsid w:val="0C2E1221"/>
    <w:rsid w:val="0E126A88"/>
    <w:rsid w:val="152664E9"/>
    <w:rsid w:val="152C0A82"/>
    <w:rsid w:val="152F15C8"/>
    <w:rsid w:val="159D7523"/>
    <w:rsid w:val="15BB4A22"/>
    <w:rsid w:val="17A04678"/>
    <w:rsid w:val="181A30AD"/>
    <w:rsid w:val="19E96131"/>
    <w:rsid w:val="23FF75FB"/>
    <w:rsid w:val="247955FF"/>
    <w:rsid w:val="2BF63B4A"/>
    <w:rsid w:val="2D6673B1"/>
    <w:rsid w:val="2F7B222C"/>
    <w:rsid w:val="32D27580"/>
    <w:rsid w:val="336F12DB"/>
    <w:rsid w:val="33925187"/>
    <w:rsid w:val="340F7482"/>
    <w:rsid w:val="38E839F1"/>
    <w:rsid w:val="3A830B2E"/>
    <w:rsid w:val="3C700ACD"/>
    <w:rsid w:val="3C7D18AB"/>
    <w:rsid w:val="3DB13BDF"/>
    <w:rsid w:val="3F74294D"/>
    <w:rsid w:val="41DA7286"/>
    <w:rsid w:val="42BF647C"/>
    <w:rsid w:val="45AA3CAA"/>
    <w:rsid w:val="46FF4065"/>
    <w:rsid w:val="49F70BF1"/>
    <w:rsid w:val="4B313C8F"/>
    <w:rsid w:val="4C285091"/>
    <w:rsid w:val="4C960479"/>
    <w:rsid w:val="4F6603AB"/>
    <w:rsid w:val="54AD082A"/>
    <w:rsid w:val="55147278"/>
    <w:rsid w:val="558D6A46"/>
    <w:rsid w:val="570629C2"/>
    <w:rsid w:val="585D393E"/>
    <w:rsid w:val="605213DF"/>
    <w:rsid w:val="606A2358"/>
    <w:rsid w:val="62C95B2F"/>
    <w:rsid w:val="65436640"/>
    <w:rsid w:val="65B009FC"/>
    <w:rsid w:val="66E0683D"/>
    <w:rsid w:val="674E68A9"/>
    <w:rsid w:val="69E817D0"/>
    <w:rsid w:val="72643430"/>
    <w:rsid w:val="76D7505D"/>
    <w:rsid w:val="77656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eastAsia="Times New Roman" w:asciiTheme="minorHAnsi" w:hAnsiTheme="minorHAnsi" w:cstheme="minorBidi"/>
      <w:kern w:val="2"/>
      <w:sz w:val="24"/>
      <w:szCs w:val="22"/>
      <w:lang w:val="en-US" w:eastAsia="zh-CN" w:bidi="ar-SA"/>
    </w:rPr>
  </w:style>
  <w:style w:type="paragraph" w:styleId="2">
    <w:name w:val="heading 1"/>
    <w:basedOn w:val="1"/>
    <w:next w:val="1"/>
    <w:link w:val="14"/>
    <w:autoRedefine/>
    <w:qFormat/>
    <w:uiPriority w:val="9"/>
    <w:pPr>
      <w:keepNext/>
      <w:keepLines/>
      <w:ind w:firstLine="0" w:firstLineChars="0"/>
      <w:jc w:val="left"/>
      <w:outlineLvl w:val="0"/>
    </w:pPr>
    <w:rPr>
      <w:rFonts w:eastAsia="宋体"/>
      <w:b/>
      <w:bCs/>
      <w:kern w:val="44"/>
      <w:sz w:val="30"/>
      <w:szCs w:val="44"/>
    </w:rPr>
  </w:style>
  <w:style w:type="paragraph" w:styleId="3">
    <w:name w:val="heading 2"/>
    <w:basedOn w:val="1"/>
    <w:next w:val="1"/>
    <w:link w:val="15"/>
    <w:autoRedefine/>
    <w:unhideWhenUsed/>
    <w:qFormat/>
    <w:uiPriority w:val="9"/>
    <w:pPr>
      <w:keepNext/>
      <w:keepLines/>
      <w:jc w:val="left"/>
      <w:outlineLvl w:val="1"/>
    </w:pPr>
    <w:rPr>
      <w:rFonts w:asciiTheme="majorHAnsi" w:hAnsiTheme="majorHAnsi" w:cstheme="majorBidi"/>
      <w:bCs/>
      <w:szCs w:val="32"/>
    </w:rPr>
  </w:style>
  <w:style w:type="paragraph" w:styleId="4">
    <w:name w:val="heading 3"/>
    <w:basedOn w:val="1"/>
    <w:next w:val="1"/>
    <w:link w:val="16"/>
    <w:autoRedefine/>
    <w:unhideWhenUsed/>
    <w:qFormat/>
    <w:uiPriority w:val="9"/>
    <w:pPr>
      <w:keepNext/>
      <w:keepLines/>
      <w:spacing w:line="240" w:lineRule="auto"/>
      <w:outlineLvl w:val="2"/>
    </w:pPr>
    <w:rPr>
      <w:rFonts w:eastAsia="宋体"/>
      <w:bCs/>
      <w:szCs w:val="32"/>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0"/>
    <w:autoRedefine/>
    <w:semiHidden/>
    <w:unhideWhenUsed/>
    <w:qFormat/>
    <w:uiPriority w:val="99"/>
    <w:pPr>
      <w:jc w:val="left"/>
    </w:pPr>
  </w:style>
  <w:style w:type="paragraph" w:styleId="6">
    <w:name w:val="footer"/>
    <w:basedOn w:val="1"/>
    <w:link w:val="18"/>
    <w:autoRedefine/>
    <w:unhideWhenUsed/>
    <w:qFormat/>
    <w:uiPriority w:val="99"/>
    <w:pPr>
      <w:tabs>
        <w:tab w:val="center" w:pos="4153"/>
        <w:tab w:val="right" w:pos="8306"/>
      </w:tabs>
      <w:snapToGrid w:val="0"/>
      <w:spacing w:line="240" w:lineRule="auto"/>
      <w:jc w:val="left"/>
    </w:pPr>
    <w:rPr>
      <w:sz w:val="18"/>
      <w:szCs w:val="18"/>
    </w:rPr>
  </w:style>
  <w:style w:type="paragraph" w:styleId="7">
    <w:name w:val="header"/>
    <w:basedOn w:val="1"/>
    <w:link w:val="17"/>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8">
    <w:name w:val="annotation subject"/>
    <w:basedOn w:val="5"/>
    <w:next w:val="5"/>
    <w:link w:val="21"/>
    <w:autoRedefine/>
    <w:semiHidden/>
    <w:unhideWhenUsed/>
    <w:qFormat/>
    <w:uiPriority w:val="99"/>
    <w:rPr>
      <w:b/>
      <w:bCs/>
    </w:rPr>
  </w:style>
  <w:style w:type="character" w:styleId="11">
    <w:name w:val="annotation reference"/>
    <w:basedOn w:val="10"/>
    <w:autoRedefine/>
    <w:semiHidden/>
    <w:unhideWhenUsed/>
    <w:qFormat/>
    <w:uiPriority w:val="99"/>
    <w:rPr>
      <w:sz w:val="21"/>
      <w:szCs w:val="21"/>
    </w:rPr>
  </w:style>
  <w:style w:type="paragraph" w:customStyle="1" w:styleId="12">
    <w:name w:val="段"/>
    <w:link w:val="13"/>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3">
    <w:name w:val="段 Char"/>
    <w:link w:val="12"/>
    <w:autoRedefine/>
    <w:qFormat/>
    <w:uiPriority w:val="0"/>
    <w:rPr>
      <w:rFonts w:ascii="宋体" w:hAnsi="Times New Roman" w:eastAsia="宋体" w:cs="Times New Roman"/>
      <w:kern w:val="0"/>
      <w:szCs w:val="20"/>
    </w:rPr>
  </w:style>
  <w:style w:type="character" w:customStyle="1" w:styleId="14">
    <w:name w:val="标题 1 字符"/>
    <w:basedOn w:val="10"/>
    <w:link w:val="2"/>
    <w:autoRedefine/>
    <w:qFormat/>
    <w:uiPriority w:val="9"/>
    <w:rPr>
      <w:rFonts w:eastAsia="宋体"/>
      <w:b/>
      <w:bCs/>
      <w:kern w:val="44"/>
      <w:sz w:val="30"/>
      <w:szCs w:val="44"/>
    </w:rPr>
  </w:style>
  <w:style w:type="character" w:customStyle="1" w:styleId="15">
    <w:name w:val="标题 2 字符"/>
    <w:basedOn w:val="10"/>
    <w:link w:val="3"/>
    <w:autoRedefine/>
    <w:qFormat/>
    <w:uiPriority w:val="9"/>
    <w:rPr>
      <w:rFonts w:eastAsia="Times New Roman" w:asciiTheme="majorHAnsi" w:hAnsiTheme="majorHAnsi" w:cstheme="majorBidi"/>
      <w:bCs/>
      <w:sz w:val="24"/>
      <w:szCs w:val="32"/>
    </w:rPr>
  </w:style>
  <w:style w:type="character" w:customStyle="1" w:styleId="16">
    <w:name w:val="标题 3 字符"/>
    <w:basedOn w:val="10"/>
    <w:link w:val="4"/>
    <w:autoRedefine/>
    <w:qFormat/>
    <w:uiPriority w:val="9"/>
    <w:rPr>
      <w:rFonts w:eastAsia="宋体"/>
      <w:bCs/>
      <w:sz w:val="24"/>
      <w:szCs w:val="32"/>
    </w:rPr>
  </w:style>
  <w:style w:type="character" w:customStyle="1" w:styleId="17">
    <w:name w:val="页眉 字符"/>
    <w:basedOn w:val="10"/>
    <w:link w:val="7"/>
    <w:autoRedefine/>
    <w:qFormat/>
    <w:uiPriority w:val="99"/>
    <w:rPr>
      <w:rFonts w:eastAsia="Times New Roman"/>
      <w:sz w:val="18"/>
      <w:szCs w:val="18"/>
    </w:rPr>
  </w:style>
  <w:style w:type="character" w:customStyle="1" w:styleId="18">
    <w:name w:val="页脚 字符"/>
    <w:basedOn w:val="10"/>
    <w:link w:val="6"/>
    <w:autoRedefine/>
    <w:qFormat/>
    <w:uiPriority w:val="99"/>
    <w:rPr>
      <w:rFonts w:eastAsia="Times New Roman"/>
      <w:sz w:val="18"/>
      <w:szCs w:val="18"/>
    </w:rPr>
  </w:style>
  <w:style w:type="paragraph" w:customStyle="1" w:styleId="19">
    <w:name w:val="Default"/>
    <w:autoRedefine/>
    <w:qFormat/>
    <w:uiPriority w:val="0"/>
    <w:pPr>
      <w:widowControl w:val="0"/>
      <w:autoSpaceDE w:val="0"/>
      <w:autoSpaceDN w:val="0"/>
      <w:adjustRightInd w:val="0"/>
    </w:pPr>
    <w:rPr>
      <w:rFonts w:ascii="仿宋_GB2312" w:eastAsia="仿宋_GB2312" w:cs="仿宋_GB2312" w:hAnsiTheme="minorHAnsi"/>
      <w:color w:val="000000"/>
      <w:kern w:val="0"/>
      <w:sz w:val="24"/>
      <w:szCs w:val="24"/>
      <w:lang w:val="en-US" w:eastAsia="zh-CN" w:bidi="ar-SA"/>
    </w:rPr>
  </w:style>
  <w:style w:type="character" w:customStyle="1" w:styleId="20">
    <w:name w:val="批注文字 字符"/>
    <w:basedOn w:val="10"/>
    <w:link w:val="5"/>
    <w:autoRedefine/>
    <w:semiHidden/>
    <w:qFormat/>
    <w:uiPriority w:val="99"/>
    <w:rPr>
      <w:rFonts w:eastAsia="Times New Roman"/>
      <w:sz w:val="24"/>
    </w:rPr>
  </w:style>
  <w:style w:type="character" w:customStyle="1" w:styleId="21">
    <w:name w:val="批注主题 字符"/>
    <w:basedOn w:val="20"/>
    <w:link w:val="8"/>
    <w:autoRedefine/>
    <w:semiHidden/>
    <w:qFormat/>
    <w:uiPriority w:val="99"/>
    <w:rPr>
      <w:rFonts w:eastAsia="Times New Roman"/>
      <w:b/>
      <w:bCs/>
      <w:sz w:val="24"/>
    </w:rPr>
  </w:style>
  <w:style w:type="paragraph" w:customStyle="1" w:styleId="22">
    <w:name w:val="样式1"/>
    <w:basedOn w:val="1"/>
    <w:autoRedefine/>
    <w:qFormat/>
    <w:uiPriority w:val="99"/>
    <w:pPr>
      <w:numPr>
        <w:ilvl w:val="0"/>
        <w:numId w:val="1"/>
      </w:numPr>
      <w:spacing w:line="440" w:lineRule="exact"/>
    </w:pPr>
    <w:rPr>
      <w:b/>
      <w:bCs/>
      <w:color w:val="000000"/>
      <w:sz w:val="24"/>
      <w:lang w:bidi="en-US"/>
    </w:rPr>
  </w:style>
  <w:style w:type="paragraph" w:customStyle="1" w:styleId="23">
    <w:name w:val="一级无"/>
    <w:basedOn w:val="24"/>
    <w:autoRedefine/>
    <w:qFormat/>
    <w:uiPriority w:val="0"/>
    <w:pPr>
      <w:spacing w:beforeLines="0" w:afterLines="0"/>
    </w:pPr>
    <w:rPr>
      <w:rFonts w:ascii="宋体" w:eastAsia="宋体"/>
    </w:rPr>
  </w:style>
  <w:style w:type="paragraph" w:customStyle="1" w:styleId="24">
    <w:name w:val="一级条标题"/>
    <w:next w:val="12"/>
    <w:autoRedefine/>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F53FD-EDD6-4B33-8AD4-1F5E448B62C1}">
  <ds:schemaRefs/>
</ds:datastoreItem>
</file>

<file path=docProps/app.xml><?xml version="1.0" encoding="utf-8"?>
<Properties xmlns="http://schemas.openxmlformats.org/officeDocument/2006/extended-properties" xmlns:vt="http://schemas.openxmlformats.org/officeDocument/2006/docPropsVTypes">
  <Template>Normal</Template>
  <Pages>14</Pages>
  <Words>7839</Words>
  <Characters>9333</Characters>
  <Lines>43</Lines>
  <Paragraphs>12</Paragraphs>
  <TotalTime>11</TotalTime>
  <ScaleCrop>false</ScaleCrop>
  <LinksUpToDate>false</LinksUpToDate>
  <CharactersWithSpaces>9833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2022-01-11T04:03:00Z</dcterms:created>
  <dc:creator>董 爱琴</dc:creator>
  <cp:lastModifiedBy>陈星瞳</cp:lastModifiedBy>
  <cp:lastPrinted>2021-09-14T00:27:00Z</cp:lastPrinted>
  <dcterms:modified xsi:type="dcterms:W3CDTF">2024-10-17T00:34:03Z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3C012FC240F344009884A828FB993E04_12</vt:lpwstr>
  </property>
</Properties>
</file>